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2C86C7">
      <w:pPr>
        <w:jc w:val="center"/>
        <w:rPr>
          <w:rFonts w:hint="eastAsia" w:ascii="方正仿宋简体" w:hAnsi="方正仿宋简体" w:eastAsia="方正仿宋简体" w:cs="方正仿宋简体"/>
          <w:color w:val="auto"/>
          <w:sz w:val="36"/>
          <w:szCs w:val="36"/>
        </w:rPr>
      </w:pPr>
      <w:bookmarkStart w:id="0" w:name="_Hlk177106730"/>
    </w:p>
    <w:p w14:paraId="190584A4">
      <w:pPr>
        <w:jc w:val="center"/>
        <w:rPr>
          <w:rFonts w:hint="eastAsia" w:ascii="方正仿宋简体" w:hAnsi="方正仿宋简体" w:eastAsia="方正仿宋简体" w:cs="方正仿宋简体"/>
          <w:color w:val="auto"/>
          <w:sz w:val="36"/>
          <w:szCs w:val="36"/>
        </w:rPr>
      </w:pPr>
    </w:p>
    <w:p w14:paraId="59FE1571">
      <w:pPr>
        <w:jc w:val="center"/>
        <w:rPr>
          <w:rFonts w:hint="eastAsia" w:ascii="方正仿宋简体" w:hAnsi="方正仿宋简体" w:eastAsia="方正仿宋简体" w:cs="方正仿宋简体"/>
          <w:color w:val="auto"/>
          <w:sz w:val="36"/>
          <w:szCs w:val="36"/>
        </w:rPr>
      </w:pPr>
    </w:p>
    <w:p w14:paraId="7B05C2D9">
      <w:pPr>
        <w:jc w:val="center"/>
        <w:rPr>
          <w:rFonts w:hint="eastAsia" w:ascii="方正仿宋简体" w:hAnsi="方正仿宋简体" w:eastAsia="方正仿宋简体" w:cs="方正仿宋简体"/>
          <w:color w:val="auto"/>
          <w:sz w:val="36"/>
          <w:szCs w:val="36"/>
        </w:rPr>
      </w:pPr>
    </w:p>
    <w:p w14:paraId="0F328654">
      <w:pPr>
        <w:spacing w:line="640" w:lineRule="exact"/>
        <w:ind w:firstLine="0" w:firstLineChars="0"/>
        <w:jc w:val="center"/>
        <w:outlineLvl w:val="0"/>
        <w:rPr>
          <w:rFonts w:hint="eastAsia" w:ascii="Times New Roman Regular" w:hAnsi="Times New Roman Regular" w:eastAsia="方正小标宋_GBK" w:cs="Times New Roman Regular"/>
          <w:bCs/>
          <w:color w:val="auto"/>
          <w:sz w:val="44"/>
          <w:szCs w:val="44"/>
        </w:rPr>
      </w:pPr>
      <w:r>
        <w:rPr>
          <w:rFonts w:hint="eastAsia" w:ascii="Times New Roman Regular" w:hAnsi="Times New Roman Regular" w:eastAsia="方正小标宋_GBK" w:cs="Times New Roman Regular"/>
          <w:bCs/>
          <w:color w:val="auto"/>
          <w:sz w:val="44"/>
          <w:szCs w:val="44"/>
          <w:lang w:val="en-US" w:eastAsia="zh-CN"/>
        </w:rPr>
        <w:t>2025年</w:t>
      </w:r>
      <w:r>
        <w:rPr>
          <w:rFonts w:hint="eastAsia" w:ascii="Times New Roman Regular" w:hAnsi="Times New Roman Regular" w:eastAsia="方正小标宋_GBK" w:cs="Times New Roman Regular"/>
          <w:bCs/>
          <w:color w:val="auto"/>
          <w:sz w:val="44"/>
          <w:szCs w:val="44"/>
        </w:rPr>
        <w:t>南京市妇女儿童活动中心</w:t>
      </w:r>
    </w:p>
    <w:p w14:paraId="099FE958">
      <w:pPr>
        <w:spacing w:line="640" w:lineRule="exact"/>
        <w:ind w:firstLine="0" w:firstLineChars="0"/>
        <w:jc w:val="center"/>
        <w:outlineLvl w:val="0"/>
        <w:rPr>
          <w:rFonts w:hint="eastAsia" w:ascii="Times New Roman Regular" w:hAnsi="Times New Roman Regular" w:eastAsia="方正小标宋_GBK" w:cs="Times New Roman Regular"/>
          <w:bCs/>
          <w:color w:val="auto"/>
          <w:sz w:val="44"/>
          <w:szCs w:val="44"/>
        </w:rPr>
      </w:pPr>
      <w:r>
        <w:rPr>
          <w:rFonts w:hint="eastAsia" w:ascii="Times New Roman Regular" w:hAnsi="Times New Roman Regular" w:eastAsia="方正小标宋_GBK" w:cs="Times New Roman Regular"/>
          <w:bCs/>
          <w:color w:val="auto"/>
          <w:sz w:val="44"/>
          <w:szCs w:val="44"/>
        </w:rPr>
        <w:t>（南京市妇女联合会新媒体服务中心）</w:t>
      </w:r>
    </w:p>
    <w:p w14:paraId="609CE55F">
      <w:pPr>
        <w:spacing w:line="640" w:lineRule="exact"/>
        <w:ind w:firstLine="0" w:firstLineChars="0"/>
        <w:jc w:val="center"/>
        <w:outlineLvl w:val="0"/>
        <w:rPr>
          <w:rFonts w:hint="eastAsia" w:ascii="Times New Roman Regular" w:hAnsi="Times New Roman Regular" w:eastAsia="方正小标宋_GBK" w:cs="Times New Roman Regular"/>
          <w:bCs/>
          <w:color w:val="auto"/>
          <w:sz w:val="44"/>
          <w:szCs w:val="44"/>
        </w:rPr>
      </w:pPr>
      <w:r>
        <w:rPr>
          <w:rFonts w:hint="eastAsia" w:ascii="Times New Roman Regular" w:hAnsi="Times New Roman Regular" w:eastAsia="方正小标宋_GBK" w:cs="Times New Roman Regular"/>
          <w:bCs/>
          <w:color w:val="auto"/>
          <w:sz w:val="44"/>
          <w:szCs w:val="44"/>
        </w:rPr>
        <w:t>整</w:t>
      </w:r>
      <w:r>
        <w:rPr>
          <w:rFonts w:hint="eastAsia" w:ascii="Times New Roman Regular" w:hAnsi="Times New Roman Regular" w:eastAsia="方正小标宋_GBK" w:cs="Times New Roman Regular"/>
          <w:bCs/>
          <w:color w:val="auto"/>
          <w:sz w:val="44"/>
          <w:szCs w:val="44"/>
          <w:lang w:val="en-US" w:eastAsia="zh-CN"/>
        </w:rPr>
        <w:t>体预算</w:t>
      </w:r>
      <w:r>
        <w:rPr>
          <w:rFonts w:hint="eastAsia" w:ascii="Times New Roman Regular" w:hAnsi="Times New Roman Regular" w:eastAsia="方正小标宋_GBK" w:cs="Times New Roman Regular"/>
          <w:bCs/>
          <w:color w:val="auto"/>
          <w:sz w:val="44"/>
          <w:szCs w:val="44"/>
        </w:rPr>
        <w:t>绩效</w:t>
      </w:r>
      <w:r>
        <w:rPr>
          <w:rFonts w:hint="eastAsia" w:ascii="Times New Roman Regular" w:hAnsi="Times New Roman Regular" w:eastAsia="方正小标宋_GBK" w:cs="Times New Roman Regular"/>
          <w:bCs/>
          <w:color w:val="auto"/>
          <w:sz w:val="44"/>
          <w:szCs w:val="44"/>
          <w:lang w:val="en-US" w:eastAsia="zh-CN"/>
        </w:rPr>
        <w:t>自</w:t>
      </w:r>
      <w:r>
        <w:rPr>
          <w:rFonts w:hint="eastAsia" w:ascii="Times New Roman Regular" w:hAnsi="Times New Roman Regular" w:eastAsia="方正小标宋_GBK" w:cs="Times New Roman Regular"/>
          <w:bCs/>
          <w:color w:val="auto"/>
          <w:sz w:val="44"/>
          <w:szCs w:val="44"/>
        </w:rPr>
        <w:t>评价报告</w:t>
      </w:r>
    </w:p>
    <w:p w14:paraId="65D837B6">
      <w:pPr>
        <w:spacing w:line="560" w:lineRule="exact"/>
        <w:ind w:firstLine="640" w:firstLineChars="200"/>
        <w:jc w:val="center"/>
        <w:rPr>
          <w:rFonts w:hint="eastAsia" w:ascii="方正仿宋简体" w:hAnsi="方正仿宋简体" w:eastAsia="方正仿宋简体" w:cs="方正仿宋简体"/>
          <w:color w:val="auto"/>
          <w:sz w:val="32"/>
          <w:szCs w:val="32"/>
        </w:rPr>
      </w:pPr>
    </w:p>
    <w:p w14:paraId="470E8D5C">
      <w:pPr>
        <w:spacing w:line="560" w:lineRule="exact"/>
        <w:ind w:firstLine="600" w:firstLineChars="200"/>
        <w:jc w:val="center"/>
        <w:rPr>
          <w:rFonts w:hint="eastAsia" w:ascii="方正仿宋简体" w:hAnsi="方正仿宋简体" w:eastAsia="方正仿宋简体" w:cs="方正仿宋简体"/>
          <w:color w:val="auto"/>
          <w:sz w:val="30"/>
          <w:szCs w:val="30"/>
        </w:rPr>
      </w:pPr>
    </w:p>
    <w:p w14:paraId="6D229DAB">
      <w:pPr>
        <w:spacing w:line="560" w:lineRule="exact"/>
        <w:ind w:firstLine="600" w:firstLineChars="200"/>
        <w:jc w:val="center"/>
        <w:rPr>
          <w:rFonts w:hint="eastAsia" w:ascii="方正仿宋简体" w:hAnsi="方正仿宋简体" w:eastAsia="方正仿宋简体" w:cs="方正仿宋简体"/>
          <w:color w:val="auto"/>
          <w:sz w:val="30"/>
          <w:szCs w:val="30"/>
        </w:rPr>
      </w:pPr>
    </w:p>
    <w:p w14:paraId="3A37C151">
      <w:pPr>
        <w:spacing w:line="560" w:lineRule="exact"/>
        <w:ind w:firstLine="600" w:firstLineChars="200"/>
        <w:jc w:val="center"/>
        <w:rPr>
          <w:rFonts w:hint="eastAsia" w:ascii="方正仿宋简体" w:hAnsi="方正仿宋简体" w:eastAsia="方正仿宋简体" w:cs="方正仿宋简体"/>
          <w:color w:val="auto"/>
          <w:sz w:val="30"/>
          <w:szCs w:val="30"/>
        </w:rPr>
      </w:pPr>
    </w:p>
    <w:p w14:paraId="6697D4F5">
      <w:pPr>
        <w:spacing w:line="560" w:lineRule="exact"/>
        <w:ind w:firstLine="600" w:firstLineChars="200"/>
        <w:jc w:val="center"/>
        <w:rPr>
          <w:rFonts w:hint="eastAsia" w:ascii="方正仿宋简体" w:hAnsi="方正仿宋简体" w:eastAsia="方正仿宋简体" w:cs="方正仿宋简体"/>
          <w:color w:val="auto"/>
          <w:sz w:val="30"/>
          <w:szCs w:val="30"/>
        </w:rPr>
      </w:pPr>
    </w:p>
    <w:p w14:paraId="354C2BBE">
      <w:pPr>
        <w:pStyle w:val="3"/>
        <w:rPr>
          <w:rFonts w:hint="eastAsia"/>
          <w:color w:val="auto"/>
        </w:rPr>
      </w:pPr>
    </w:p>
    <w:p w14:paraId="19EAA0B7">
      <w:pPr>
        <w:spacing w:line="560" w:lineRule="exact"/>
        <w:ind w:firstLine="600" w:firstLineChars="200"/>
        <w:jc w:val="center"/>
        <w:rPr>
          <w:rFonts w:hint="eastAsia" w:ascii="方正仿宋简体" w:hAnsi="方正仿宋简体" w:eastAsia="方正仿宋简体" w:cs="方正仿宋简体"/>
          <w:color w:val="auto"/>
          <w:sz w:val="30"/>
          <w:szCs w:val="30"/>
        </w:rPr>
      </w:pPr>
    </w:p>
    <w:p w14:paraId="5231A37B">
      <w:pPr>
        <w:spacing w:line="560" w:lineRule="exact"/>
        <w:ind w:firstLine="600" w:firstLineChars="200"/>
        <w:jc w:val="center"/>
        <w:rPr>
          <w:rFonts w:hint="eastAsia" w:ascii="方正仿宋简体" w:hAnsi="方正仿宋简体" w:eastAsia="方正仿宋简体" w:cs="方正仿宋简体"/>
          <w:color w:val="auto"/>
          <w:sz w:val="30"/>
          <w:szCs w:val="30"/>
        </w:rPr>
      </w:pPr>
    </w:p>
    <w:p w14:paraId="7351D551">
      <w:pPr>
        <w:spacing w:line="560" w:lineRule="exact"/>
        <w:ind w:firstLine="600" w:firstLineChars="200"/>
        <w:jc w:val="center"/>
        <w:rPr>
          <w:rFonts w:hint="eastAsia" w:ascii="方正仿宋简体" w:hAnsi="方正仿宋简体" w:eastAsia="方正仿宋简体" w:cs="方正仿宋简体"/>
          <w:color w:val="auto"/>
          <w:sz w:val="30"/>
          <w:szCs w:val="30"/>
        </w:rPr>
      </w:pPr>
    </w:p>
    <w:p w14:paraId="413557E7">
      <w:pPr>
        <w:spacing w:line="560" w:lineRule="exact"/>
        <w:ind w:firstLine="600" w:firstLineChars="200"/>
        <w:jc w:val="center"/>
        <w:rPr>
          <w:rFonts w:hint="eastAsia" w:ascii="方正仿宋简体" w:hAnsi="方正仿宋简体" w:eastAsia="方正仿宋简体" w:cs="方正仿宋简体"/>
          <w:color w:val="auto"/>
          <w:sz w:val="30"/>
          <w:szCs w:val="30"/>
        </w:rPr>
      </w:pPr>
    </w:p>
    <w:p w14:paraId="10565603">
      <w:pPr>
        <w:spacing w:line="560" w:lineRule="exact"/>
        <w:ind w:firstLine="600" w:firstLineChars="200"/>
        <w:jc w:val="center"/>
        <w:rPr>
          <w:rFonts w:hint="eastAsia" w:ascii="方正仿宋简体" w:hAnsi="方正仿宋简体" w:eastAsia="方正仿宋简体" w:cs="方正仿宋简体"/>
          <w:color w:val="auto"/>
          <w:sz w:val="30"/>
          <w:szCs w:val="30"/>
        </w:rPr>
      </w:pPr>
    </w:p>
    <w:bookmarkEnd w:id="0"/>
    <w:p w14:paraId="41086187">
      <w:pPr>
        <w:spacing w:line="560" w:lineRule="exact"/>
        <w:ind w:firstLine="600" w:firstLineChars="200"/>
        <w:rPr>
          <w:rFonts w:hint="eastAsia" w:ascii="方正仿宋简体" w:hAnsi="方正仿宋简体" w:eastAsia="方正仿宋简体" w:cs="方正仿宋简体"/>
          <w:color w:val="auto"/>
          <w:sz w:val="30"/>
          <w:szCs w:val="30"/>
          <w:lang w:eastAsia="zh-CN"/>
        </w:rPr>
      </w:pPr>
    </w:p>
    <w:p w14:paraId="773B87DD">
      <w:pPr>
        <w:pStyle w:val="27"/>
        <w:spacing w:line="560" w:lineRule="exact"/>
        <w:jc w:val="center"/>
        <w:rPr>
          <w:rFonts w:hint="eastAsia" w:ascii="方正仿宋简体" w:hAnsi="方正仿宋简体" w:eastAsia="方正仿宋简体" w:cs="方正仿宋简体"/>
          <w:b/>
          <w:bCs/>
          <w:color w:val="auto"/>
          <w:sz w:val="44"/>
          <w:szCs w:val="44"/>
          <w:lang w:val="zh-CN"/>
        </w:rPr>
      </w:pPr>
      <w:r>
        <w:rPr>
          <w:rFonts w:hint="eastAsia" w:ascii="方正仿宋简体" w:hAnsi="方正仿宋简体" w:eastAsia="方正仿宋简体" w:cs="方正仿宋简体"/>
          <w:b/>
          <w:bCs/>
          <w:color w:val="auto"/>
          <w:sz w:val="44"/>
          <w:szCs w:val="44"/>
          <w:lang w:val="zh-CN"/>
        </w:rPr>
        <w:t>目录</w:t>
      </w:r>
    </w:p>
    <w:p w14:paraId="57D06F88">
      <w:pPr>
        <w:rPr>
          <w:rFonts w:hint="eastAsia" w:ascii="方正仿宋简体" w:hAnsi="方正仿宋简体" w:eastAsia="方正仿宋简体" w:cs="方正仿宋简体"/>
          <w:color w:val="auto"/>
          <w:sz w:val="28"/>
          <w:szCs w:val="32"/>
        </w:rPr>
      </w:pPr>
    </w:p>
    <w:p w14:paraId="4AF9D36D">
      <w:pPr>
        <w:pStyle w:val="9"/>
        <w:tabs>
          <w:tab w:val="right" w:leader="dot" w:pos="8778"/>
        </w:tabs>
        <w:rPr>
          <w:rFonts w:eastAsia="方正仿宋简体"/>
          <w:color w:val="auto"/>
          <w:sz w:val="28"/>
          <w:szCs w:val="32"/>
        </w:rPr>
      </w:pPr>
      <w:r>
        <w:rPr>
          <w:rFonts w:eastAsia="方正仿宋简体"/>
          <w:color w:val="auto"/>
          <w:sz w:val="44"/>
          <w:szCs w:val="44"/>
        </w:rPr>
        <w:fldChar w:fldCharType="begin"/>
      </w:r>
      <w:r>
        <w:rPr>
          <w:rFonts w:eastAsia="方正仿宋简体"/>
          <w:color w:val="auto"/>
          <w:sz w:val="44"/>
          <w:szCs w:val="44"/>
        </w:rPr>
        <w:instrText xml:space="preserve"> TOC \o "1-3" \h \z \u </w:instrText>
      </w:r>
      <w:r>
        <w:rPr>
          <w:rFonts w:eastAsia="方正仿宋简体"/>
          <w:color w:val="auto"/>
          <w:sz w:val="44"/>
          <w:szCs w:val="44"/>
        </w:rPr>
        <w:fldChar w:fldCharType="separate"/>
      </w:r>
      <w:r>
        <w:rPr>
          <w:rStyle w:val="16"/>
          <w:rFonts w:eastAsia="方正仿宋简体"/>
          <w:color w:val="auto"/>
          <w:sz w:val="28"/>
          <w:szCs w:val="32"/>
        </w:rPr>
        <w:fldChar w:fldCharType="begin"/>
      </w:r>
      <w:r>
        <w:rPr>
          <w:rStyle w:val="16"/>
          <w:rFonts w:eastAsia="方正仿宋简体"/>
          <w:color w:val="auto"/>
          <w:sz w:val="28"/>
          <w:szCs w:val="32"/>
        </w:rPr>
        <w:instrText xml:space="preserve"> </w:instrText>
      </w:r>
      <w:r>
        <w:rPr>
          <w:rFonts w:eastAsia="方正仿宋简体"/>
          <w:color w:val="auto"/>
          <w:sz w:val="28"/>
          <w:szCs w:val="32"/>
        </w:rPr>
        <w:instrText xml:space="preserve">HYPERLINK \l "_Toc178059775"</w:instrText>
      </w:r>
      <w:r>
        <w:rPr>
          <w:rStyle w:val="16"/>
          <w:rFonts w:eastAsia="方正仿宋简体"/>
          <w:color w:val="auto"/>
          <w:sz w:val="28"/>
          <w:szCs w:val="32"/>
        </w:rPr>
        <w:instrText xml:space="preserve"> </w:instrText>
      </w:r>
      <w:r>
        <w:rPr>
          <w:rStyle w:val="16"/>
          <w:rFonts w:eastAsia="方正仿宋简体"/>
          <w:color w:val="auto"/>
          <w:sz w:val="28"/>
          <w:szCs w:val="32"/>
        </w:rPr>
        <w:fldChar w:fldCharType="separate"/>
      </w:r>
      <w:r>
        <w:rPr>
          <w:rStyle w:val="16"/>
          <w:rFonts w:eastAsia="方正仿宋简体"/>
          <w:color w:val="auto"/>
          <w:sz w:val="28"/>
          <w:szCs w:val="32"/>
        </w:rPr>
        <w:t>一、部门（单位）概况</w:t>
      </w:r>
      <w:r>
        <w:rPr>
          <w:rFonts w:eastAsia="方正仿宋简体"/>
          <w:color w:val="auto"/>
          <w:sz w:val="28"/>
          <w:szCs w:val="32"/>
        </w:rPr>
        <w:tab/>
      </w:r>
      <w:r>
        <w:rPr>
          <w:rFonts w:eastAsia="方正仿宋简体"/>
          <w:color w:val="auto"/>
          <w:sz w:val="28"/>
          <w:szCs w:val="32"/>
        </w:rPr>
        <w:fldChar w:fldCharType="begin"/>
      </w:r>
      <w:r>
        <w:rPr>
          <w:rFonts w:eastAsia="方正仿宋简体"/>
          <w:color w:val="auto"/>
          <w:sz w:val="28"/>
          <w:szCs w:val="32"/>
        </w:rPr>
        <w:instrText xml:space="preserve"> PAGEREF _Toc178059775 \h </w:instrText>
      </w:r>
      <w:r>
        <w:rPr>
          <w:rFonts w:eastAsia="方正仿宋简体"/>
          <w:color w:val="auto"/>
          <w:sz w:val="28"/>
          <w:szCs w:val="32"/>
        </w:rPr>
        <w:fldChar w:fldCharType="separate"/>
      </w:r>
      <w:r>
        <w:rPr>
          <w:rFonts w:eastAsia="方正仿宋简体"/>
          <w:color w:val="auto"/>
          <w:sz w:val="28"/>
          <w:szCs w:val="32"/>
        </w:rPr>
        <w:t>3</w:t>
      </w:r>
      <w:r>
        <w:rPr>
          <w:rFonts w:eastAsia="方正仿宋简体"/>
          <w:color w:val="auto"/>
          <w:sz w:val="28"/>
          <w:szCs w:val="32"/>
        </w:rPr>
        <w:fldChar w:fldCharType="end"/>
      </w:r>
      <w:r>
        <w:rPr>
          <w:rStyle w:val="16"/>
          <w:rFonts w:eastAsia="方正仿宋简体"/>
          <w:color w:val="auto"/>
          <w:sz w:val="28"/>
          <w:szCs w:val="32"/>
        </w:rPr>
        <w:fldChar w:fldCharType="end"/>
      </w:r>
    </w:p>
    <w:p w14:paraId="548D2291">
      <w:pPr>
        <w:pStyle w:val="10"/>
        <w:tabs>
          <w:tab w:val="right" w:leader="dot" w:pos="8778"/>
        </w:tabs>
        <w:rPr>
          <w:rFonts w:eastAsia="方正仿宋简体"/>
          <w:color w:val="auto"/>
          <w:sz w:val="28"/>
          <w:szCs w:val="32"/>
        </w:rPr>
      </w:pPr>
      <w:r>
        <w:rPr>
          <w:rStyle w:val="16"/>
          <w:rFonts w:eastAsia="方正仿宋简体"/>
          <w:color w:val="auto"/>
          <w:sz w:val="28"/>
          <w:szCs w:val="32"/>
        </w:rPr>
        <w:fldChar w:fldCharType="begin"/>
      </w:r>
      <w:r>
        <w:rPr>
          <w:rStyle w:val="16"/>
          <w:rFonts w:eastAsia="方正仿宋简体"/>
          <w:color w:val="auto"/>
          <w:sz w:val="28"/>
          <w:szCs w:val="32"/>
        </w:rPr>
        <w:instrText xml:space="preserve"> </w:instrText>
      </w:r>
      <w:r>
        <w:rPr>
          <w:rFonts w:eastAsia="方正仿宋简体"/>
          <w:color w:val="auto"/>
          <w:sz w:val="28"/>
          <w:szCs w:val="32"/>
        </w:rPr>
        <w:instrText xml:space="preserve">HYPERLINK \l "_Toc178059776"</w:instrText>
      </w:r>
      <w:r>
        <w:rPr>
          <w:rStyle w:val="16"/>
          <w:rFonts w:eastAsia="方正仿宋简体"/>
          <w:color w:val="auto"/>
          <w:sz w:val="28"/>
          <w:szCs w:val="32"/>
        </w:rPr>
        <w:instrText xml:space="preserve"> </w:instrText>
      </w:r>
      <w:r>
        <w:rPr>
          <w:rStyle w:val="16"/>
          <w:rFonts w:eastAsia="方正仿宋简体"/>
          <w:color w:val="auto"/>
          <w:sz w:val="28"/>
          <w:szCs w:val="32"/>
        </w:rPr>
        <w:fldChar w:fldCharType="separate"/>
      </w:r>
      <w:r>
        <w:rPr>
          <w:rStyle w:val="16"/>
          <w:rFonts w:eastAsia="方正仿宋简体"/>
          <w:color w:val="auto"/>
          <w:sz w:val="28"/>
          <w:szCs w:val="32"/>
        </w:rPr>
        <w:t>（一）部门（单位）基本情况</w:t>
      </w:r>
      <w:r>
        <w:rPr>
          <w:rFonts w:eastAsia="方正仿宋简体"/>
          <w:color w:val="auto"/>
          <w:sz w:val="28"/>
          <w:szCs w:val="32"/>
        </w:rPr>
        <w:tab/>
      </w:r>
      <w:r>
        <w:rPr>
          <w:rFonts w:eastAsia="方正仿宋简体"/>
          <w:color w:val="auto"/>
          <w:sz w:val="28"/>
          <w:szCs w:val="32"/>
        </w:rPr>
        <w:fldChar w:fldCharType="begin"/>
      </w:r>
      <w:r>
        <w:rPr>
          <w:rFonts w:eastAsia="方正仿宋简体"/>
          <w:color w:val="auto"/>
          <w:sz w:val="28"/>
          <w:szCs w:val="32"/>
        </w:rPr>
        <w:instrText xml:space="preserve"> PAGEREF _Toc178059776 \h </w:instrText>
      </w:r>
      <w:r>
        <w:rPr>
          <w:rFonts w:eastAsia="方正仿宋简体"/>
          <w:color w:val="auto"/>
          <w:sz w:val="28"/>
          <w:szCs w:val="32"/>
        </w:rPr>
        <w:fldChar w:fldCharType="separate"/>
      </w:r>
      <w:r>
        <w:rPr>
          <w:rFonts w:eastAsia="方正仿宋简体"/>
          <w:color w:val="auto"/>
          <w:sz w:val="28"/>
          <w:szCs w:val="32"/>
        </w:rPr>
        <w:t>3</w:t>
      </w:r>
      <w:r>
        <w:rPr>
          <w:rFonts w:eastAsia="方正仿宋简体"/>
          <w:color w:val="auto"/>
          <w:sz w:val="28"/>
          <w:szCs w:val="32"/>
        </w:rPr>
        <w:fldChar w:fldCharType="end"/>
      </w:r>
      <w:r>
        <w:rPr>
          <w:rStyle w:val="16"/>
          <w:rFonts w:eastAsia="方正仿宋简体"/>
          <w:color w:val="auto"/>
          <w:sz w:val="28"/>
          <w:szCs w:val="32"/>
        </w:rPr>
        <w:fldChar w:fldCharType="end"/>
      </w:r>
    </w:p>
    <w:p w14:paraId="6F41EBC5">
      <w:pPr>
        <w:pStyle w:val="10"/>
        <w:tabs>
          <w:tab w:val="right" w:leader="dot" w:pos="8778"/>
        </w:tabs>
        <w:rPr>
          <w:rFonts w:eastAsia="方正仿宋简体"/>
          <w:color w:val="auto"/>
          <w:sz w:val="28"/>
          <w:szCs w:val="32"/>
        </w:rPr>
      </w:pPr>
      <w:r>
        <w:rPr>
          <w:rStyle w:val="16"/>
          <w:rFonts w:eastAsia="方正仿宋简体"/>
          <w:color w:val="auto"/>
          <w:sz w:val="28"/>
          <w:szCs w:val="32"/>
        </w:rPr>
        <w:fldChar w:fldCharType="begin"/>
      </w:r>
      <w:r>
        <w:rPr>
          <w:rStyle w:val="16"/>
          <w:rFonts w:eastAsia="方正仿宋简体"/>
          <w:color w:val="auto"/>
          <w:sz w:val="28"/>
          <w:szCs w:val="32"/>
        </w:rPr>
        <w:instrText xml:space="preserve"> </w:instrText>
      </w:r>
      <w:r>
        <w:rPr>
          <w:rFonts w:eastAsia="方正仿宋简体"/>
          <w:color w:val="auto"/>
          <w:sz w:val="28"/>
          <w:szCs w:val="32"/>
        </w:rPr>
        <w:instrText xml:space="preserve">HYPERLINK \l "_Toc178059777"</w:instrText>
      </w:r>
      <w:r>
        <w:rPr>
          <w:rStyle w:val="16"/>
          <w:rFonts w:eastAsia="方正仿宋简体"/>
          <w:color w:val="auto"/>
          <w:sz w:val="28"/>
          <w:szCs w:val="32"/>
        </w:rPr>
        <w:instrText xml:space="preserve"> </w:instrText>
      </w:r>
      <w:r>
        <w:rPr>
          <w:rStyle w:val="16"/>
          <w:rFonts w:eastAsia="方正仿宋简体"/>
          <w:color w:val="auto"/>
          <w:sz w:val="28"/>
          <w:szCs w:val="32"/>
        </w:rPr>
        <w:fldChar w:fldCharType="separate"/>
      </w:r>
      <w:r>
        <w:rPr>
          <w:rStyle w:val="16"/>
          <w:rFonts w:eastAsia="方正仿宋简体"/>
          <w:color w:val="auto"/>
          <w:sz w:val="28"/>
          <w:szCs w:val="32"/>
        </w:rPr>
        <w:t>（二）部门（单位）资金情况</w:t>
      </w:r>
      <w:r>
        <w:rPr>
          <w:rFonts w:eastAsia="方正仿宋简体"/>
          <w:color w:val="auto"/>
          <w:sz w:val="28"/>
          <w:szCs w:val="32"/>
        </w:rPr>
        <w:tab/>
      </w:r>
      <w:r>
        <w:rPr>
          <w:rFonts w:eastAsia="方正仿宋简体"/>
          <w:color w:val="auto"/>
          <w:sz w:val="28"/>
          <w:szCs w:val="32"/>
        </w:rPr>
        <w:fldChar w:fldCharType="begin"/>
      </w:r>
      <w:r>
        <w:rPr>
          <w:rFonts w:eastAsia="方正仿宋简体"/>
          <w:color w:val="auto"/>
          <w:sz w:val="28"/>
          <w:szCs w:val="32"/>
        </w:rPr>
        <w:instrText xml:space="preserve"> PAGEREF _Toc178059777 \h </w:instrText>
      </w:r>
      <w:r>
        <w:rPr>
          <w:rFonts w:eastAsia="方正仿宋简体"/>
          <w:color w:val="auto"/>
          <w:sz w:val="28"/>
          <w:szCs w:val="32"/>
        </w:rPr>
        <w:fldChar w:fldCharType="separate"/>
      </w:r>
      <w:r>
        <w:rPr>
          <w:rFonts w:eastAsia="方正仿宋简体"/>
          <w:color w:val="auto"/>
          <w:sz w:val="28"/>
          <w:szCs w:val="32"/>
        </w:rPr>
        <w:t>4</w:t>
      </w:r>
      <w:r>
        <w:rPr>
          <w:rFonts w:eastAsia="方正仿宋简体"/>
          <w:color w:val="auto"/>
          <w:sz w:val="28"/>
          <w:szCs w:val="32"/>
        </w:rPr>
        <w:fldChar w:fldCharType="end"/>
      </w:r>
      <w:r>
        <w:rPr>
          <w:rStyle w:val="16"/>
          <w:rFonts w:eastAsia="方正仿宋简体"/>
          <w:color w:val="auto"/>
          <w:sz w:val="28"/>
          <w:szCs w:val="32"/>
        </w:rPr>
        <w:fldChar w:fldCharType="end"/>
      </w:r>
    </w:p>
    <w:p w14:paraId="4945CA17">
      <w:pPr>
        <w:pStyle w:val="10"/>
        <w:tabs>
          <w:tab w:val="right" w:leader="dot" w:pos="8778"/>
        </w:tabs>
        <w:rPr>
          <w:rFonts w:hint="eastAsia" w:eastAsia="方正仿宋简体"/>
          <w:color w:val="auto"/>
          <w:sz w:val="28"/>
          <w:szCs w:val="32"/>
          <w:highlight w:val="none"/>
          <w:lang w:val="en-US" w:eastAsia="zh-CN"/>
        </w:rPr>
      </w:pPr>
      <w:r>
        <w:rPr>
          <w:rStyle w:val="16"/>
          <w:rFonts w:eastAsia="方正仿宋简体"/>
          <w:color w:val="auto"/>
          <w:sz w:val="28"/>
          <w:szCs w:val="32"/>
        </w:rPr>
        <w:fldChar w:fldCharType="begin"/>
      </w:r>
      <w:r>
        <w:rPr>
          <w:rStyle w:val="16"/>
          <w:rFonts w:eastAsia="方正仿宋简体"/>
          <w:color w:val="auto"/>
          <w:sz w:val="28"/>
          <w:szCs w:val="32"/>
        </w:rPr>
        <w:instrText xml:space="preserve"> </w:instrText>
      </w:r>
      <w:r>
        <w:rPr>
          <w:rFonts w:eastAsia="方正仿宋简体"/>
          <w:color w:val="auto"/>
          <w:sz w:val="28"/>
          <w:szCs w:val="32"/>
        </w:rPr>
        <w:instrText xml:space="preserve">HYPERLINK \l "_Toc178059778"</w:instrText>
      </w:r>
      <w:r>
        <w:rPr>
          <w:rStyle w:val="16"/>
          <w:rFonts w:eastAsia="方正仿宋简体"/>
          <w:color w:val="auto"/>
          <w:sz w:val="28"/>
          <w:szCs w:val="32"/>
        </w:rPr>
        <w:instrText xml:space="preserve"> </w:instrText>
      </w:r>
      <w:r>
        <w:rPr>
          <w:rStyle w:val="16"/>
          <w:rFonts w:eastAsia="方正仿宋简体"/>
          <w:color w:val="auto"/>
          <w:sz w:val="28"/>
          <w:szCs w:val="32"/>
        </w:rPr>
        <w:fldChar w:fldCharType="separate"/>
      </w:r>
      <w:r>
        <w:rPr>
          <w:rStyle w:val="16"/>
          <w:rFonts w:eastAsia="方正仿宋简体"/>
          <w:color w:val="auto"/>
          <w:sz w:val="28"/>
          <w:szCs w:val="32"/>
        </w:rPr>
        <w:t>（三）部门（单位）绩效目标</w:t>
      </w:r>
      <w:r>
        <w:rPr>
          <w:rFonts w:eastAsia="方正仿宋简体"/>
          <w:color w:val="auto"/>
          <w:sz w:val="28"/>
          <w:szCs w:val="32"/>
        </w:rPr>
        <w:tab/>
      </w:r>
      <w:r>
        <w:rPr>
          <w:rStyle w:val="16"/>
          <w:rFonts w:eastAsia="方正仿宋简体"/>
          <w:color w:val="auto"/>
          <w:sz w:val="28"/>
          <w:szCs w:val="32"/>
        </w:rPr>
        <w:fldChar w:fldCharType="end"/>
      </w:r>
      <w:r>
        <w:rPr>
          <w:rStyle w:val="16"/>
          <w:rFonts w:hint="eastAsia" w:eastAsia="方正仿宋简体"/>
          <w:color w:val="auto"/>
          <w:sz w:val="28"/>
          <w:szCs w:val="32"/>
          <w:highlight w:val="none"/>
          <w:lang w:val="en-US" w:eastAsia="zh-CN"/>
        </w:rPr>
        <w:t>6</w:t>
      </w:r>
    </w:p>
    <w:p w14:paraId="180940BD">
      <w:pPr>
        <w:pStyle w:val="9"/>
        <w:tabs>
          <w:tab w:val="right" w:leader="dot" w:pos="8778"/>
        </w:tabs>
        <w:rPr>
          <w:rFonts w:eastAsia="方正仿宋简体"/>
          <w:color w:val="auto"/>
          <w:sz w:val="28"/>
          <w:szCs w:val="32"/>
        </w:rPr>
      </w:pPr>
      <w:r>
        <w:rPr>
          <w:rStyle w:val="16"/>
          <w:rFonts w:eastAsia="方正仿宋简体"/>
          <w:color w:val="auto"/>
          <w:sz w:val="28"/>
          <w:szCs w:val="32"/>
        </w:rPr>
        <w:fldChar w:fldCharType="begin"/>
      </w:r>
      <w:r>
        <w:rPr>
          <w:rStyle w:val="16"/>
          <w:rFonts w:eastAsia="方正仿宋简体"/>
          <w:color w:val="auto"/>
          <w:sz w:val="28"/>
          <w:szCs w:val="32"/>
        </w:rPr>
        <w:instrText xml:space="preserve"> </w:instrText>
      </w:r>
      <w:r>
        <w:rPr>
          <w:rFonts w:eastAsia="方正仿宋简体"/>
          <w:color w:val="auto"/>
          <w:sz w:val="28"/>
          <w:szCs w:val="32"/>
        </w:rPr>
        <w:instrText xml:space="preserve">HYPERLINK \l "_Toc178059779"</w:instrText>
      </w:r>
      <w:r>
        <w:rPr>
          <w:rStyle w:val="16"/>
          <w:rFonts w:eastAsia="方正仿宋简体"/>
          <w:color w:val="auto"/>
          <w:sz w:val="28"/>
          <w:szCs w:val="32"/>
        </w:rPr>
        <w:instrText xml:space="preserve"> </w:instrText>
      </w:r>
      <w:r>
        <w:rPr>
          <w:rStyle w:val="16"/>
          <w:rFonts w:eastAsia="方正仿宋简体"/>
          <w:color w:val="auto"/>
          <w:sz w:val="28"/>
          <w:szCs w:val="32"/>
        </w:rPr>
        <w:fldChar w:fldCharType="separate"/>
      </w:r>
      <w:r>
        <w:rPr>
          <w:rStyle w:val="16"/>
          <w:rFonts w:eastAsia="方正仿宋简体"/>
          <w:color w:val="auto"/>
          <w:sz w:val="28"/>
          <w:szCs w:val="32"/>
        </w:rPr>
        <w:t>二、评价结论</w:t>
      </w:r>
      <w:r>
        <w:rPr>
          <w:rFonts w:eastAsia="方正仿宋简体"/>
          <w:color w:val="auto"/>
          <w:sz w:val="28"/>
          <w:szCs w:val="32"/>
        </w:rPr>
        <w:tab/>
      </w:r>
      <w:r>
        <w:rPr>
          <w:rFonts w:eastAsia="方正仿宋简体"/>
          <w:color w:val="auto"/>
          <w:sz w:val="28"/>
          <w:szCs w:val="32"/>
        </w:rPr>
        <w:t>8</w:t>
      </w:r>
      <w:r>
        <w:rPr>
          <w:rStyle w:val="16"/>
          <w:rFonts w:eastAsia="方正仿宋简体"/>
          <w:color w:val="auto"/>
          <w:sz w:val="28"/>
          <w:szCs w:val="32"/>
        </w:rPr>
        <w:fldChar w:fldCharType="end"/>
      </w:r>
    </w:p>
    <w:p w14:paraId="4F97525E">
      <w:pPr>
        <w:pStyle w:val="10"/>
        <w:tabs>
          <w:tab w:val="right" w:leader="dot" w:pos="8778"/>
        </w:tabs>
        <w:rPr>
          <w:rFonts w:eastAsia="方正仿宋简体"/>
          <w:color w:val="auto"/>
          <w:sz w:val="28"/>
          <w:szCs w:val="32"/>
        </w:rPr>
      </w:pPr>
      <w:r>
        <w:rPr>
          <w:rStyle w:val="16"/>
          <w:rFonts w:eastAsia="方正仿宋简体"/>
          <w:color w:val="auto"/>
          <w:sz w:val="28"/>
          <w:szCs w:val="32"/>
        </w:rPr>
        <w:fldChar w:fldCharType="begin"/>
      </w:r>
      <w:r>
        <w:rPr>
          <w:rStyle w:val="16"/>
          <w:rFonts w:eastAsia="方正仿宋简体"/>
          <w:color w:val="auto"/>
          <w:sz w:val="28"/>
          <w:szCs w:val="32"/>
        </w:rPr>
        <w:instrText xml:space="preserve"> </w:instrText>
      </w:r>
      <w:r>
        <w:rPr>
          <w:rFonts w:eastAsia="方正仿宋简体"/>
          <w:color w:val="auto"/>
          <w:sz w:val="28"/>
          <w:szCs w:val="32"/>
        </w:rPr>
        <w:instrText xml:space="preserve">HYPERLINK \l "_Toc178059780"</w:instrText>
      </w:r>
      <w:r>
        <w:rPr>
          <w:rStyle w:val="16"/>
          <w:rFonts w:eastAsia="方正仿宋简体"/>
          <w:color w:val="auto"/>
          <w:sz w:val="28"/>
          <w:szCs w:val="32"/>
        </w:rPr>
        <w:instrText xml:space="preserve"> </w:instrText>
      </w:r>
      <w:r>
        <w:rPr>
          <w:rStyle w:val="16"/>
          <w:rFonts w:eastAsia="方正仿宋简体"/>
          <w:color w:val="auto"/>
          <w:sz w:val="28"/>
          <w:szCs w:val="32"/>
        </w:rPr>
        <w:fldChar w:fldCharType="separate"/>
      </w:r>
      <w:r>
        <w:rPr>
          <w:rStyle w:val="16"/>
          <w:rFonts w:eastAsia="方正仿宋简体"/>
          <w:color w:val="auto"/>
          <w:sz w:val="28"/>
          <w:szCs w:val="32"/>
        </w:rPr>
        <w:t>（一）评价对象与范围</w:t>
      </w:r>
      <w:r>
        <w:rPr>
          <w:rFonts w:eastAsia="方正仿宋简体"/>
          <w:color w:val="auto"/>
          <w:sz w:val="28"/>
          <w:szCs w:val="32"/>
        </w:rPr>
        <w:tab/>
      </w:r>
      <w:r>
        <w:rPr>
          <w:rFonts w:eastAsia="方正仿宋简体"/>
          <w:color w:val="auto"/>
          <w:sz w:val="28"/>
          <w:szCs w:val="32"/>
        </w:rPr>
        <w:t>8</w:t>
      </w:r>
      <w:r>
        <w:rPr>
          <w:rStyle w:val="16"/>
          <w:rFonts w:eastAsia="方正仿宋简体"/>
          <w:color w:val="auto"/>
          <w:sz w:val="28"/>
          <w:szCs w:val="32"/>
        </w:rPr>
        <w:fldChar w:fldCharType="end"/>
      </w:r>
    </w:p>
    <w:p w14:paraId="1CB9A5B0">
      <w:pPr>
        <w:pStyle w:val="10"/>
        <w:tabs>
          <w:tab w:val="right" w:leader="dot" w:pos="8778"/>
        </w:tabs>
        <w:rPr>
          <w:rFonts w:eastAsia="方正仿宋简体"/>
          <w:color w:val="auto"/>
          <w:sz w:val="28"/>
          <w:szCs w:val="32"/>
        </w:rPr>
      </w:pPr>
      <w:r>
        <w:rPr>
          <w:rStyle w:val="16"/>
          <w:rFonts w:eastAsia="方正仿宋简体"/>
          <w:color w:val="auto"/>
          <w:sz w:val="28"/>
          <w:szCs w:val="32"/>
        </w:rPr>
        <w:fldChar w:fldCharType="begin"/>
      </w:r>
      <w:r>
        <w:rPr>
          <w:rStyle w:val="16"/>
          <w:rFonts w:eastAsia="方正仿宋简体"/>
          <w:color w:val="auto"/>
          <w:sz w:val="28"/>
          <w:szCs w:val="32"/>
        </w:rPr>
        <w:instrText xml:space="preserve"> </w:instrText>
      </w:r>
      <w:r>
        <w:rPr>
          <w:rFonts w:eastAsia="方正仿宋简体"/>
          <w:color w:val="auto"/>
          <w:sz w:val="28"/>
          <w:szCs w:val="32"/>
        </w:rPr>
        <w:instrText xml:space="preserve">HYPERLINK \l "_Toc178059781"</w:instrText>
      </w:r>
      <w:r>
        <w:rPr>
          <w:rStyle w:val="16"/>
          <w:rFonts w:eastAsia="方正仿宋简体"/>
          <w:color w:val="auto"/>
          <w:sz w:val="28"/>
          <w:szCs w:val="32"/>
        </w:rPr>
        <w:instrText xml:space="preserve"> </w:instrText>
      </w:r>
      <w:r>
        <w:rPr>
          <w:rStyle w:val="16"/>
          <w:rFonts w:eastAsia="方正仿宋简体"/>
          <w:color w:val="auto"/>
          <w:sz w:val="28"/>
          <w:szCs w:val="32"/>
        </w:rPr>
        <w:fldChar w:fldCharType="separate"/>
      </w:r>
      <w:r>
        <w:rPr>
          <w:rStyle w:val="16"/>
          <w:rFonts w:eastAsia="方正仿宋简体"/>
          <w:color w:val="auto"/>
          <w:sz w:val="28"/>
          <w:szCs w:val="32"/>
        </w:rPr>
        <w:t>（二）绩效评价结论</w:t>
      </w:r>
      <w:r>
        <w:rPr>
          <w:rFonts w:eastAsia="方正仿宋简体"/>
          <w:color w:val="auto"/>
          <w:sz w:val="28"/>
          <w:szCs w:val="32"/>
        </w:rPr>
        <w:tab/>
      </w:r>
      <w:r>
        <w:rPr>
          <w:rFonts w:eastAsia="方正仿宋简体"/>
          <w:color w:val="auto"/>
          <w:sz w:val="28"/>
          <w:szCs w:val="32"/>
        </w:rPr>
        <w:t>8</w:t>
      </w:r>
      <w:r>
        <w:rPr>
          <w:rStyle w:val="16"/>
          <w:rFonts w:eastAsia="方正仿宋简体"/>
          <w:color w:val="auto"/>
          <w:sz w:val="28"/>
          <w:szCs w:val="32"/>
        </w:rPr>
        <w:fldChar w:fldCharType="end"/>
      </w:r>
    </w:p>
    <w:p w14:paraId="0735503B">
      <w:pPr>
        <w:pStyle w:val="9"/>
        <w:tabs>
          <w:tab w:val="right" w:leader="dot" w:pos="8778"/>
        </w:tabs>
        <w:rPr>
          <w:rFonts w:eastAsia="方正仿宋简体"/>
          <w:color w:val="auto"/>
          <w:sz w:val="28"/>
          <w:szCs w:val="32"/>
        </w:rPr>
      </w:pPr>
      <w:r>
        <w:rPr>
          <w:rStyle w:val="16"/>
          <w:rFonts w:eastAsia="方正仿宋简体"/>
          <w:color w:val="auto"/>
          <w:sz w:val="28"/>
          <w:szCs w:val="32"/>
        </w:rPr>
        <w:fldChar w:fldCharType="begin"/>
      </w:r>
      <w:r>
        <w:rPr>
          <w:rStyle w:val="16"/>
          <w:rFonts w:eastAsia="方正仿宋简体"/>
          <w:color w:val="auto"/>
          <w:sz w:val="28"/>
          <w:szCs w:val="32"/>
        </w:rPr>
        <w:instrText xml:space="preserve"> </w:instrText>
      </w:r>
      <w:r>
        <w:rPr>
          <w:rFonts w:eastAsia="方正仿宋简体"/>
          <w:color w:val="auto"/>
          <w:sz w:val="28"/>
          <w:szCs w:val="32"/>
        </w:rPr>
        <w:instrText xml:space="preserve">HYPERLINK \l "_Toc178059782"</w:instrText>
      </w:r>
      <w:r>
        <w:rPr>
          <w:rStyle w:val="16"/>
          <w:rFonts w:eastAsia="方正仿宋简体"/>
          <w:color w:val="auto"/>
          <w:sz w:val="28"/>
          <w:szCs w:val="32"/>
        </w:rPr>
        <w:instrText xml:space="preserve"> </w:instrText>
      </w:r>
      <w:r>
        <w:rPr>
          <w:rStyle w:val="16"/>
          <w:rFonts w:eastAsia="方正仿宋简体"/>
          <w:color w:val="auto"/>
          <w:sz w:val="28"/>
          <w:szCs w:val="32"/>
        </w:rPr>
        <w:fldChar w:fldCharType="separate"/>
      </w:r>
      <w:r>
        <w:rPr>
          <w:rStyle w:val="16"/>
          <w:rFonts w:eastAsia="方正仿宋简体"/>
          <w:color w:val="auto"/>
          <w:sz w:val="28"/>
          <w:szCs w:val="32"/>
        </w:rPr>
        <w:t>三、部门履职成效</w:t>
      </w:r>
      <w:r>
        <w:rPr>
          <w:rFonts w:eastAsia="方正仿宋简体"/>
          <w:color w:val="auto"/>
          <w:sz w:val="28"/>
          <w:szCs w:val="32"/>
        </w:rPr>
        <w:tab/>
      </w:r>
      <w:r>
        <w:rPr>
          <w:rStyle w:val="16"/>
          <w:rFonts w:eastAsia="方正仿宋简体"/>
          <w:color w:val="auto"/>
          <w:sz w:val="28"/>
          <w:szCs w:val="32"/>
        </w:rPr>
        <w:fldChar w:fldCharType="end"/>
      </w:r>
      <w:r>
        <w:rPr>
          <w:rStyle w:val="16"/>
          <w:rFonts w:eastAsia="方正仿宋简体"/>
          <w:color w:val="auto"/>
          <w:sz w:val="28"/>
          <w:szCs w:val="32"/>
        </w:rPr>
        <w:t>9</w:t>
      </w:r>
    </w:p>
    <w:p w14:paraId="53AADE0A">
      <w:pPr>
        <w:pStyle w:val="9"/>
        <w:tabs>
          <w:tab w:val="right" w:leader="dot" w:pos="8778"/>
        </w:tabs>
        <w:rPr>
          <w:rFonts w:hint="eastAsia" w:eastAsia="方正仿宋简体"/>
          <w:color w:val="auto"/>
          <w:sz w:val="28"/>
          <w:szCs w:val="32"/>
          <w:lang w:eastAsia="zh-CN"/>
        </w:rPr>
      </w:pPr>
      <w:r>
        <w:rPr>
          <w:rStyle w:val="16"/>
          <w:rFonts w:eastAsia="方正仿宋简体"/>
          <w:color w:val="auto"/>
          <w:sz w:val="28"/>
          <w:szCs w:val="32"/>
        </w:rPr>
        <w:fldChar w:fldCharType="begin"/>
      </w:r>
      <w:r>
        <w:rPr>
          <w:rStyle w:val="16"/>
          <w:rFonts w:eastAsia="方正仿宋简体"/>
          <w:color w:val="auto"/>
          <w:sz w:val="28"/>
          <w:szCs w:val="32"/>
        </w:rPr>
        <w:instrText xml:space="preserve"> </w:instrText>
      </w:r>
      <w:r>
        <w:rPr>
          <w:rFonts w:eastAsia="方正仿宋简体"/>
          <w:color w:val="auto"/>
          <w:sz w:val="28"/>
          <w:szCs w:val="32"/>
        </w:rPr>
        <w:instrText xml:space="preserve">HYPERLINK \l "_Toc178059783"</w:instrText>
      </w:r>
      <w:r>
        <w:rPr>
          <w:rStyle w:val="16"/>
          <w:rFonts w:eastAsia="方正仿宋简体"/>
          <w:color w:val="auto"/>
          <w:sz w:val="28"/>
          <w:szCs w:val="32"/>
        </w:rPr>
        <w:instrText xml:space="preserve"> </w:instrText>
      </w:r>
      <w:r>
        <w:rPr>
          <w:rStyle w:val="16"/>
          <w:rFonts w:eastAsia="方正仿宋简体"/>
          <w:color w:val="auto"/>
          <w:sz w:val="28"/>
          <w:szCs w:val="32"/>
        </w:rPr>
        <w:fldChar w:fldCharType="separate"/>
      </w:r>
      <w:r>
        <w:rPr>
          <w:rStyle w:val="16"/>
          <w:rFonts w:eastAsia="方正仿宋简体"/>
          <w:color w:val="auto"/>
          <w:sz w:val="28"/>
          <w:szCs w:val="32"/>
        </w:rPr>
        <w:t>四、存在问题及原因分析</w:t>
      </w:r>
      <w:r>
        <w:rPr>
          <w:rFonts w:eastAsia="方正仿宋简体"/>
          <w:color w:val="auto"/>
          <w:sz w:val="28"/>
          <w:szCs w:val="32"/>
        </w:rPr>
        <w:tab/>
      </w:r>
      <w:r>
        <w:rPr>
          <w:rFonts w:eastAsia="方正仿宋简体"/>
          <w:color w:val="auto"/>
          <w:sz w:val="28"/>
          <w:szCs w:val="32"/>
        </w:rPr>
        <w:t>1</w:t>
      </w:r>
      <w:r>
        <w:rPr>
          <w:rStyle w:val="16"/>
          <w:rFonts w:eastAsia="方正仿宋简体"/>
          <w:color w:val="auto"/>
          <w:sz w:val="28"/>
          <w:szCs w:val="32"/>
        </w:rPr>
        <w:fldChar w:fldCharType="end"/>
      </w:r>
      <w:r>
        <w:rPr>
          <w:rStyle w:val="16"/>
          <w:rFonts w:hint="eastAsia" w:eastAsia="方正仿宋简体"/>
          <w:color w:val="auto"/>
          <w:sz w:val="28"/>
          <w:szCs w:val="32"/>
          <w:lang w:val="en-US" w:eastAsia="zh-CN"/>
        </w:rPr>
        <w:t>5</w:t>
      </w:r>
    </w:p>
    <w:p w14:paraId="49CE7CDB">
      <w:pPr>
        <w:pStyle w:val="9"/>
        <w:tabs>
          <w:tab w:val="right" w:leader="dot" w:pos="8778"/>
        </w:tabs>
        <w:rPr>
          <w:rFonts w:hint="eastAsia" w:eastAsia="方正仿宋简体"/>
          <w:color w:val="auto"/>
          <w:sz w:val="28"/>
          <w:szCs w:val="32"/>
          <w:lang w:eastAsia="zh-CN"/>
        </w:rPr>
      </w:pPr>
      <w:r>
        <w:rPr>
          <w:rStyle w:val="16"/>
          <w:rFonts w:eastAsia="方正仿宋简体"/>
          <w:color w:val="auto"/>
          <w:sz w:val="28"/>
          <w:szCs w:val="32"/>
        </w:rPr>
        <w:fldChar w:fldCharType="begin"/>
      </w:r>
      <w:r>
        <w:rPr>
          <w:rStyle w:val="16"/>
          <w:rFonts w:eastAsia="方正仿宋简体"/>
          <w:color w:val="auto"/>
          <w:sz w:val="28"/>
          <w:szCs w:val="32"/>
        </w:rPr>
        <w:instrText xml:space="preserve"> </w:instrText>
      </w:r>
      <w:r>
        <w:rPr>
          <w:rFonts w:eastAsia="方正仿宋简体"/>
          <w:color w:val="auto"/>
          <w:sz w:val="28"/>
          <w:szCs w:val="32"/>
        </w:rPr>
        <w:instrText xml:space="preserve">HYPERLINK \l "_Toc178059784"</w:instrText>
      </w:r>
      <w:r>
        <w:rPr>
          <w:rStyle w:val="16"/>
          <w:rFonts w:eastAsia="方正仿宋简体"/>
          <w:color w:val="auto"/>
          <w:sz w:val="28"/>
          <w:szCs w:val="32"/>
        </w:rPr>
        <w:instrText xml:space="preserve"> </w:instrText>
      </w:r>
      <w:r>
        <w:rPr>
          <w:rStyle w:val="16"/>
          <w:rFonts w:eastAsia="方正仿宋简体"/>
          <w:color w:val="auto"/>
          <w:sz w:val="28"/>
          <w:szCs w:val="32"/>
        </w:rPr>
        <w:fldChar w:fldCharType="separate"/>
      </w:r>
      <w:r>
        <w:rPr>
          <w:rStyle w:val="16"/>
          <w:rFonts w:eastAsia="方正仿宋简体"/>
          <w:color w:val="auto"/>
          <w:sz w:val="28"/>
          <w:szCs w:val="32"/>
        </w:rPr>
        <w:t>五、有关建议</w:t>
      </w:r>
      <w:r>
        <w:rPr>
          <w:rFonts w:eastAsia="方正仿宋简体"/>
          <w:color w:val="auto"/>
          <w:sz w:val="28"/>
          <w:szCs w:val="32"/>
        </w:rPr>
        <w:tab/>
      </w:r>
      <w:r>
        <w:rPr>
          <w:rFonts w:eastAsia="方正仿宋简体"/>
          <w:color w:val="auto"/>
          <w:sz w:val="28"/>
          <w:szCs w:val="32"/>
        </w:rPr>
        <w:t>1</w:t>
      </w:r>
      <w:r>
        <w:rPr>
          <w:rStyle w:val="16"/>
          <w:rFonts w:eastAsia="方正仿宋简体"/>
          <w:color w:val="auto"/>
          <w:sz w:val="28"/>
          <w:szCs w:val="32"/>
        </w:rPr>
        <w:fldChar w:fldCharType="end"/>
      </w:r>
      <w:r>
        <w:rPr>
          <w:rStyle w:val="16"/>
          <w:rFonts w:hint="eastAsia" w:eastAsia="方正仿宋简体"/>
          <w:color w:val="auto"/>
          <w:sz w:val="28"/>
          <w:szCs w:val="32"/>
          <w:lang w:val="en-US" w:eastAsia="zh-CN"/>
        </w:rPr>
        <w:t>5</w:t>
      </w:r>
    </w:p>
    <w:p w14:paraId="15ADA28C">
      <w:pPr>
        <w:pStyle w:val="9"/>
        <w:shd w:val="clear"/>
        <w:tabs>
          <w:tab w:val="right" w:leader="dot" w:pos="8778"/>
        </w:tabs>
        <w:rPr>
          <w:rFonts w:hint="eastAsia" w:eastAsia="方正仿宋简体"/>
          <w:color w:val="auto"/>
          <w:sz w:val="28"/>
          <w:szCs w:val="32"/>
          <w:lang w:val="en-US" w:eastAsia="zh-CN"/>
        </w:rPr>
      </w:pPr>
      <w:r>
        <w:rPr>
          <w:rStyle w:val="16"/>
          <w:rFonts w:eastAsia="方正仿宋简体"/>
          <w:color w:val="auto"/>
          <w:sz w:val="28"/>
          <w:szCs w:val="32"/>
        </w:rPr>
        <w:fldChar w:fldCharType="begin"/>
      </w:r>
      <w:r>
        <w:rPr>
          <w:rStyle w:val="16"/>
          <w:rFonts w:eastAsia="方正仿宋简体"/>
          <w:color w:val="auto"/>
          <w:sz w:val="28"/>
          <w:szCs w:val="32"/>
        </w:rPr>
        <w:instrText xml:space="preserve"> </w:instrText>
      </w:r>
      <w:r>
        <w:rPr>
          <w:rFonts w:eastAsia="方正仿宋简体"/>
          <w:color w:val="auto"/>
          <w:sz w:val="28"/>
          <w:szCs w:val="32"/>
        </w:rPr>
        <w:instrText xml:space="preserve">HYPERLINK \l "_Toc178059785"</w:instrText>
      </w:r>
      <w:r>
        <w:rPr>
          <w:rStyle w:val="16"/>
          <w:rFonts w:eastAsia="方正仿宋简体"/>
          <w:color w:val="auto"/>
          <w:sz w:val="28"/>
          <w:szCs w:val="32"/>
        </w:rPr>
        <w:instrText xml:space="preserve"> </w:instrText>
      </w:r>
      <w:r>
        <w:rPr>
          <w:rStyle w:val="16"/>
          <w:rFonts w:eastAsia="方正仿宋简体"/>
          <w:color w:val="auto"/>
          <w:sz w:val="28"/>
          <w:szCs w:val="32"/>
        </w:rPr>
        <w:fldChar w:fldCharType="separate"/>
      </w:r>
      <w:r>
        <w:rPr>
          <w:rStyle w:val="16"/>
          <w:rFonts w:eastAsia="方正仿宋简体"/>
          <w:color w:val="auto"/>
          <w:sz w:val="28"/>
          <w:szCs w:val="32"/>
        </w:rPr>
        <w:t>六、评价工作开展情况及其他需说明的情况</w:t>
      </w:r>
      <w:r>
        <w:rPr>
          <w:rFonts w:eastAsia="方正仿宋简体"/>
          <w:color w:val="auto"/>
          <w:sz w:val="28"/>
          <w:szCs w:val="32"/>
        </w:rPr>
        <w:tab/>
      </w:r>
      <w:r>
        <w:rPr>
          <w:rFonts w:eastAsia="方正仿宋简体"/>
          <w:color w:val="auto"/>
          <w:sz w:val="28"/>
          <w:szCs w:val="32"/>
        </w:rPr>
        <w:fldChar w:fldCharType="begin"/>
      </w:r>
      <w:r>
        <w:rPr>
          <w:rFonts w:eastAsia="方正仿宋简体"/>
          <w:color w:val="auto"/>
          <w:sz w:val="28"/>
          <w:szCs w:val="32"/>
        </w:rPr>
        <w:instrText xml:space="preserve"> PAGEREF _Toc178059785 \h </w:instrText>
      </w:r>
      <w:r>
        <w:rPr>
          <w:rFonts w:eastAsia="方正仿宋简体"/>
          <w:color w:val="auto"/>
          <w:sz w:val="28"/>
          <w:szCs w:val="32"/>
        </w:rPr>
        <w:fldChar w:fldCharType="separate"/>
      </w:r>
      <w:r>
        <w:rPr>
          <w:rFonts w:eastAsia="方正仿宋简体"/>
          <w:color w:val="auto"/>
          <w:sz w:val="28"/>
          <w:szCs w:val="32"/>
        </w:rPr>
        <w:t>1</w:t>
      </w:r>
      <w:r>
        <w:rPr>
          <w:rFonts w:eastAsia="方正仿宋简体"/>
          <w:color w:val="auto"/>
          <w:sz w:val="28"/>
          <w:szCs w:val="32"/>
        </w:rPr>
        <w:fldChar w:fldCharType="end"/>
      </w:r>
      <w:r>
        <w:rPr>
          <w:rStyle w:val="16"/>
          <w:rFonts w:eastAsia="方正仿宋简体"/>
          <w:color w:val="auto"/>
          <w:sz w:val="28"/>
          <w:szCs w:val="32"/>
        </w:rPr>
        <w:fldChar w:fldCharType="end"/>
      </w:r>
      <w:r>
        <w:rPr>
          <w:rStyle w:val="16"/>
          <w:rFonts w:hint="eastAsia" w:eastAsia="方正仿宋简体"/>
          <w:color w:val="auto"/>
          <w:sz w:val="28"/>
          <w:szCs w:val="32"/>
          <w:lang w:val="en-US" w:eastAsia="zh-CN"/>
        </w:rPr>
        <w:t>5</w:t>
      </w:r>
    </w:p>
    <w:p w14:paraId="535455A8">
      <w:pPr>
        <w:pStyle w:val="10"/>
        <w:shd w:val="clear"/>
        <w:tabs>
          <w:tab w:val="right" w:leader="dot" w:pos="8778"/>
        </w:tabs>
        <w:rPr>
          <w:rStyle w:val="16"/>
          <w:rFonts w:hint="eastAsia" w:eastAsia="方正仿宋简体"/>
          <w:color w:val="auto"/>
          <w:sz w:val="28"/>
          <w:szCs w:val="32"/>
          <w:lang w:val="en-US" w:eastAsia="zh-CN"/>
        </w:rPr>
      </w:pPr>
      <w:r>
        <w:rPr>
          <w:rStyle w:val="16"/>
          <w:rFonts w:hint="default" w:eastAsia="方正仿宋简体"/>
          <w:color w:val="auto"/>
          <w:sz w:val="28"/>
          <w:szCs w:val="32"/>
        </w:rPr>
        <w:fldChar w:fldCharType="begin"/>
      </w:r>
      <w:r>
        <w:rPr>
          <w:rStyle w:val="16"/>
          <w:rFonts w:hint="default" w:eastAsia="方正仿宋简体"/>
          <w:color w:val="auto"/>
          <w:sz w:val="28"/>
          <w:szCs w:val="32"/>
        </w:rPr>
        <w:instrText xml:space="preserve"> HYPERLINK \l "_Toc178059786" </w:instrText>
      </w:r>
      <w:r>
        <w:rPr>
          <w:rStyle w:val="16"/>
          <w:rFonts w:hint="default" w:eastAsia="方正仿宋简体"/>
          <w:color w:val="auto"/>
          <w:sz w:val="28"/>
          <w:szCs w:val="32"/>
        </w:rPr>
        <w:fldChar w:fldCharType="separate"/>
      </w:r>
      <w:r>
        <w:rPr>
          <w:rStyle w:val="16"/>
          <w:rFonts w:hint="default" w:eastAsia="方正仿宋简体"/>
          <w:color w:val="auto"/>
          <w:sz w:val="28"/>
          <w:szCs w:val="32"/>
        </w:rPr>
        <w:t>（一）评价</w:t>
      </w:r>
      <w:r>
        <w:rPr>
          <w:rStyle w:val="16"/>
          <w:rFonts w:hint="eastAsia" w:eastAsia="方正仿宋简体"/>
          <w:color w:val="auto"/>
          <w:sz w:val="28"/>
          <w:szCs w:val="32"/>
          <w:lang w:val="en-US" w:eastAsia="zh-CN"/>
        </w:rPr>
        <w:t>思路</w:t>
      </w:r>
      <w:r>
        <w:rPr>
          <w:rStyle w:val="16"/>
          <w:rFonts w:hint="default" w:eastAsia="方正仿宋简体"/>
          <w:color w:val="auto"/>
          <w:sz w:val="28"/>
          <w:szCs w:val="32"/>
        </w:rPr>
        <w:tab/>
      </w:r>
      <w:r>
        <w:rPr>
          <w:rStyle w:val="16"/>
          <w:rFonts w:hint="eastAsia" w:eastAsia="方正仿宋简体"/>
          <w:color w:val="auto"/>
          <w:sz w:val="28"/>
          <w:szCs w:val="32"/>
          <w:lang w:val="en-US" w:eastAsia="zh-CN"/>
        </w:rPr>
        <w:t>1</w:t>
      </w:r>
      <w:r>
        <w:rPr>
          <w:rStyle w:val="16"/>
          <w:rFonts w:hint="default" w:eastAsia="方正仿宋简体"/>
          <w:color w:val="auto"/>
          <w:sz w:val="28"/>
          <w:szCs w:val="32"/>
        </w:rPr>
        <w:fldChar w:fldCharType="end"/>
      </w:r>
      <w:r>
        <w:rPr>
          <w:rStyle w:val="16"/>
          <w:rFonts w:hint="eastAsia" w:eastAsia="方正仿宋简体"/>
          <w:color w:val="auto"/>
          <w:sz w:val="28"/>
          <w:szCs w:val="32"/>
          <w:lang w:val="en-US" w:eastAsia="zh-CN"/>
        </w:rPr>
        <w:t>5</w:t>
      </w:r>
    </w:p>
    <w:p w14:paraId="3E5E03F9">
      <w:pPr>
        <w:pStyle w:val="10"/>
        <w:shd w:val="clear"/>
        <w:tabs>
          <w:tab w:val="right" w:leader="dot" w:pos="8778"/>
        </w:tabs>
        <w:rPr>
          <w:rStyle w:val="16"/>
          <w:rFonts w:hint="default" w:eastAsia="方正仿宋简体"/>
          <w:color w:val="auto"/>
          <w:sz w:val="28"/>
          <w:szCs w:val="32"/>
        </w:rPr>
      </w:pPr>
      <w:r>
        <w:rPr>
          <w:rStyle w:val="16"/>
          <w:rFonts w:hint="eastAsia" w:eastAsia="方正仿宋简体"/>
          <w:color w:val="auto"/>
          <w:sz w:val="28"/>
          <w:szCs w:val="32"/>
          <w:lang w:eastAsia="zh-CN"/>
        </w:rPr>
        <w:t>（</w:t>
      </w:r>
      <w:r>
        <w:rPr>
          <w:rStyle w:val="16"/>
          <w:rFonts w:hint="eastAsia" w:eastAsia="方正仿宋简体"/>
          <w:color w:val="auto"/>
          <w:sz w:val="28"/>
          <w:szCs w:val="32"/>
          <w:lang w:val="en-US" w:eastAsia="zh-CN"/>
        </w:rPr>
        <w:t>二）评价方法</w:t>
      </w:r>
      <w:r>
        <w:rPr>
          <w:rStyle w:val="16"/>
          <w:rFonts w:hint="default" w:eastAsia="方正仿宋简体"/>
          <w:color w:val="auto"/>
          <w:sz w:val="28"/>
          <w:szCs w:val="32"/>
        </w:rPr>
        <w:tab/>
      </w:r>
      <w:r>
        <w:rPr>
          <w:rStyle w:val="16"/>
          <w:rFonts w:hint="default" w:eastAsia="方正仿宋简体"/>
          <w:color w:val="auto"/>
          <w:sz w:val="28"/>
          <w:szCs w:val="32"/>
        </w:rPr>
        <w:fldChar w:fldCharType="begin"/>
      </w:r>
      <w:r>
        <w:rPr>
          <w:rStyle w:val="16"/>
          <w:rFonts w:hint="default" w:eastAsia="方正仿宋简体"/>
          <w:color w:val="auto"/>
          <w:sz w:val="28"/>
          <w:szCs w:val="32"/>
        </w:rPr>
        <w:instrText xml:space="preserve"> PAGEREF _Toc178059786 \h </w:instrText>
      </w:r>
      <w:r>
        <w:rPr>
          <w:rStyle w:val="16"/>
          <w:rFonts w:hint="default" w:eastAsia="方正仿宋简体"/>
          <w:color w:val="auto"/>
          <w:sz w:val="28"/>
          <w:szCs w:val="32"/>
        </w:rPr>
        <w:fldChar w:fldCharType="separate"/>
      </w:r>
      <w:r>
        <w:rPr>
          <w:rStyle w:val="16"/>
          <w:rFonts w:hint="default" w:eastAsia="方正仿宋简体"/>
          <w:color w:val="auto"/>
          <w:sz w:val="28"/>
          <w:szCs w:val="32"/>
        </w:rPr>
        <w:t>1</w:t>
      </w:r>
      <w:r>
        <w:rPr>
          <w:rStyle w:val="16"/>
          <w:rFonts w:hint="eastAsia" w:eastAsia="方正仿宋简体"/>
          <w:color w:val="auto"/>
          <w:sz w:val="28"/>
          <w:szCs w:val="32"/>
          <w:lang w:val="en-US" w:eastAsia="zh-CN"/>
        </w:rPr>
        <w:t>6</w:t>
      </w:r>
      <w:r>
        <w:rPr>
          <w:rStyle w:val="16"/>
          <w:rFonts w:hint="default" w:eastAsia="方正仿宋简体"/>
          <w:color w:val="auto"/>
          <w:sz w:val="28"/>
          <w:szCs w:val="32"/>
        </w:rPr>
        <w:fldChar w:fldCharType="end"/>
      </w:r>
    </w:p>
    <w:p w14:paraId="0D06EDB5">
      <w:pPr>
        <w:pStyle w:val="10"/>
        <w:shd w:val="clear"/>
        <w:tabs>
          <w:tab w:val="right" w:leader="dot" w:pos="8778"/>
        </w:tabs>
        <w:rPr>
          <w:rStyle w:val="16"/>
          <w:rFonts w:hint="default" w:eastAsia="方正仿宋简体"/>
          <w:color w:val="auto"/>
          <w:sz w:val="28"/>
          <w:szCs w:val="32"/>
        </w:rPr>
      </w:pPr>
      <w:r>
        <w:rPr>
          <w:rStyle w:val="16"/>
          <w:rFonts w:hint="eastAsia" w:eastAsia="方正仿宋简体"/>
          <w:color w:val="auto"/>
          <w:sz w:val="28"/>
          <w:szCs w:val="32"/>
          <w:lang w:eastAsia="zh-CN"/>
        </w:rPr>
        <w:t>（</w:t>
      </w:r>
      <w:r>
        <w:rPr>
          <w:rStyle w:val="16"/>
          <w:rFonts w:hint="eastAsia" w:eastAsia="方正仿宋简体"/>
          <w:color w:val="auto"/>
          <w:sz w:val="28"/>
          <w:szCs w:val="32"/>
          <w:lang w:val="en-US" w:eastAsia="zh-CN"/>
        </w:rPr>
        <w:t>三）指标体系</w:t>
      </w:r>
      <w:r>
        <w:rPr>
          <w:rStyle w:val="16"/>
          <w:rFonts w:hint="default" w:eastAsia="方正仿宋简体"/>
          <w:color w:val="auto"/>
          <w:sz w:val="28"/>
          <w:szCs w:val="32"/>
        </w:rPr>
        <w:tab/>
      </w:r>
      <w:r>
        <w:rPr>
          <w:rStyle w:val="16"/>
          <w:rFonts w:hint="default" w:eastAsia="方正仿宋简体"/>
          <w:color w:val="auto"/>
          <w:sz w:val="28"/>
          <w:szCs w:val="32"/>
        </w:rPr>
        <w:fldChar w:fldCharType="begin"/>
      </w:r>
      <w:r>
        <w:rPr>
          <w:rStyle w:val="16"/>
          <w:rFonts w:hint="default" w:eastAsia="方正仿宋简体"/>
          <w:color w:val="auto"/>
          <w:sz w:val="28"/>
          <w:szCs w:val="32"/>
        </w:rPr>
        <w:instrText xml:space="preserve"> PAGEREF _Toc178059786 \h </w:instrText>
      </w:r>
      <w:r>
        <w:rPr>
          <w:rStyle w:val="16"/>
          <w:rFonts w:hint="default" w:eastAsia="方正仿宋简体"/>
          <w:color w:val="auto"/>
          <w:sz w:val="28"/>
          <w:szCs w:val="32"/>
        </w:rPr>
        <w:fldChar w:fldCharType="separate"/>
      </w:r>
      <w:r>
        <w:rPr>
          <w:rStyle w:val="16"/>
          <w:rFonts w:hint="default" w:eastAsia="方正仿宋简体"/>
          <w:color w:val="auto"/>
          <w:sz w:val="28"/>
          <w:szCs w:val="32"/>
        </w:rPr>
        <w:t>1</w:t>
      </w:r>
      <w:r>
        <w:rPr>
          <w:rStyle w:val="16"/>
          <w:rFonts w:hint="eastAsia" w:eastAsia="方正仿宋简体"/>
          <w:color w:val="auto"/>
          <w:sz w:val="28"/>
          <w:szCs w:val="32"/>
          <w:lang w:val="en-US" w:eastAsia="zh-CN"/>
        </w:rPr>
        <w:t>6</w:t>
      </w:r>
      <w:r>
        <w:rPr>
          <w:rStyle w:val="16"/>
          <w:rFonts w:hint="default" w:eastAsia="方正仿宋简体"/>
          <w:color w:val="auto"/>
          <w:sz w:val="28"/>
          <w:szCs w:val="32"/>
        </w:rPr>
        <w:fldChar w:fldCharType="end"/>
      </w:r>
    </w:p>
    <w:p w14:paraId="6923664A">
      <w:pPr>
        <w:pStyle w:val="10"/>
        <w:shd w:val="clear"/>
        <w:tabs>
          <w:tab w:val="right" w:leader="dot" w:pos="8778"/>
        </w:tabs>
        <w:rPr>
          <w:rStyle w:val="16"/>
          <w:rFonts w:hint="default" w:eastAsia="方正仿宋简体"/>
          <w:color w:val="auto"/>
          <w:sz w:val="28"/>
          <w:szCs w:val="32"/>
          <w:lang w:val="en-US" w:eastAsia="zh-CN"/>
        </w:rPr>
      </w:pPr>
      <w:r>
        <w:rPr>
          <w:rStyle w:val="16"/>
          <w:rFonts w:hint="eastAsia" w:eastAsia="方正仿宋简体"/>
          <w:color w:val="auto"/>
          <w:sz w:val="28"/>
          <w:szCs w:val="32"/>
          <w:lang w:eastAsia="zh-CN"/>
        </w:rPr>
        <w:t>（</w:t>
      </w:r>
      <w:r>
        <w:rPr>
          <w:rStyle w:val="16"/>
          <w:rFonts w:hint="eastAsia" w:eastAsia="方正仿宋简体"/>
          <w:color w:val="auto"/>
          <w:sz w:val="28"/>
          <w:szCs w:val="32"/>
          <w:lang w:val="en-US" w:eastAsia="zh-CN"/>
        </w:rPr>
        <w:t>四）其他需要说明的问题</w:t>
      </w:r>
      <w:r>
        <w:rPr>
          <w:rStyle w:val="16"/>
          <w:rFonts w:hint="default" w:eastAsia="方正仿宋简体"/>
          <w:color w:val="auto"/>
          <w:sz w:val="28"/>
          <w:szCs w:val="32"/>
        </w:rPr>
        <w:tab/>
      </w:r>
      <w:r>
        <w:rPr>
          <w:rStyle w:val="16"/>
          <w:rFonts w:hint="eastAsia" w:eastAsia="方正仿宋简体"/>
          <w:color w:val="auto"/>
          <w:sz w:val="28"/>
          <w:szCs w:val="32"/>
          <w:lang w:val="en-US" w:eastAsia="zh-CN"/>
        </w:rPr>
        <w:t>17</w:t>
      </w:r>
    </w:p>
    <w:p w14:paraId="7B6EE94C">
      <w:pPr>
        <w:pStyle w:val="10"/>
        <w:shd w:val="clear"/>
        <w:tabs>
          <w:tab w:val="right" w:leader="dot" w:pos="8778"/>
        </w:tabs>
        <w:ind w:left="0" w:leftChars="0" w:firstLine="0" w:firstLineChars="0"/>
        <w:rPr>
          <w:rStyle w:val="16"/>
          <w:rFonts w:hint="default" w:eastAsia="方正仿宋简体"/>
          <w:color w:val="auto"/>
          <w:sz w:val="28"/>
          <w:szCs w:val="32"/>
        </w:rPr>
      </w:pPr>
      <w:r>
        <w:rPr>
          <w:rStyle w:val="16"/>
          <w:rFonts w:hint="default" w:eastAsia="方正仿宋简体"/>
          <w:color w:val="auto"/>
          <w:sz w:val="28"/>
          <w:szCs w:val="32"/>
        </w:rPr>
        <w:fldChar w:fldCharType="begin"/>
      </w:r>
      <w:r>
        <w:rPr>
          <w:rStyle w:val="16"/>
          <w:rFonts w:hint="default" w:eastAsia="方正仿宋简体"/>
          <w:color w:val="auto"/>
          <w:sz w:val="28"/>
          <w:szCs w:val="32"/>
        </w:rPr>
        <w:instrText xml:space="preserve"> HYPERLINK \l "_Toc178059787" </w:instrText>
      </w:r>
      <w:r>
        <w:rPr>
          <w:rStyle w:val="16"/>
          <w:rFonts w:hint="default" w:eastAsia="方正仿宋简体"/>
          <w:color w:val="auto"/>
          <w:sz w:val="28"/>
          <w:szCs w:val="32"/>
        </w:rPr>
        <w:fldChar w:fldCharType="separate"/>
      </w:r>
      <w:r>
        <w:rPr>
          <w:rStyle w:val="16"/>
          <w:rFonts w:hint="default" w:eastAsia="方正仿宋简体"/>
          <w:color w:val="auto"/>
          <w:sz w:val="28"/>
          <w:szCs w:val="32"/>
        </w:rPr>
        <w:t>附件：</w:t>
      </w:r>
      <w:r>
        <w:rPr>
          <w:rStyle w:val="16"/>
          <w:rFonts w:hint="default" w:eastAsia="方正仿宋简体"/>
          <w:color w:val="auto"/>
          <w:sz w:val="28"/>
          <w:szCs w:val="32"/>
        </w:rPr>
        <w:tab/>
      </w:r>
      <w:r>
        <w:rPr>
          <w:rStyle w:val="16"/>
          <w:rFonts w:hint="default" w:eastAsia="方正仿宋简体"/>
          <w:color w:val="auto"/>
          <w:sz w:val="28"/>
          <w:szCs w:val="32"/>
        </w:rPr>
        <w:fldChar w:fldCharType="end"/>
      </w:r>
    </w:p>
    <w:p w14:paraId="0DAC58CA">
      <w:pPr>
        <w:pStyle w:val="10"/>
        <w:shd w:val="clear"/>
        <w:tabs>
          <w:tab w:val="right" w:leader="dot" w:pos="8778"/>
        </w:tabs>
        <w:rPr>
          <w:rStyle w:val="16"/>
          <w:rFonts w:hint="eastAsia" w:eastAsia="方正仿宋简体"/>
          <w:color w:val="auto"/>
          <w:sz w:val="28"/>
          <w:szCs w:val="32"/>
          <w:lang w:val="en-US" w:eastAsia="zh-CN"/>
        </w:rPr>
      </w:pPr>
      <w:r>
        <w:rPr>
          <w:rStyle w:val="16"/>
          <w:rFonts w:hint="default" w:eastAsia="方正仿宋简体"/>
          <w:color w:val="auto"/>
          <w:sz w:val="28"/>
          <w:szCs w:val="32"/>
        </w:rPr>
        <w:fldChar w:fldCharType="begin"/>
      </w:r>
      <w:r>
        <w:rPr>
          <w:rStyle w:val="16"/>
          <w:rFonts w:hint="default" w:eastAsia="方正仿宋简体"/>
          <w:color w:val="auto"/>
          <w:sz w:val="28"/>
          <w:szCs w:val="32"/>
        </w:rPr>
        <w:instrText xml:space="preserve"> HYPERLINK \l "_Toc178059788" </w:instrText>
      </w:r>
      <w:r>
        <w:rPr>
          <w:rStyle w:val="16"/>
          <w:rFonts w:hint="default" w:eastAsia="方正仿宋简体"/>
          <w:color w:val="auto"/>
          <w:sz w:val="28"/>
          <w:szCs w:val="32"/>
        </w:rPr>
        <w:fldChar w:fldCharType="separate"/>
      </w:r>
      <w:r>
        <w:rPr>
          <w:rStyle w:val="16"/>
          <w:rFonts w:hint="default" w:eastAsia="方正仿宋简体"/>
          <w:color w:val="auto"/>
          <w:sz w:val="28"/>
          <w:szCs w:val="32"/>
        </w:rPr>
        <w:t>1.指标体系得分情况</w:t>
      </w:r>
      <w:r>
        <w:rPr>
          <w:rStyle w:val="16"/>
          <w:rFonts w:hint="default" w:eastAsia="方正仿宋简体"/>
          <w:color w:val="auto"/>
          <w:sz w:val="28"/>
          <w:szCs w:val="32"/>
        </w:rPr>
        <w:tab/>
      </w:r>
      <w:r>
        <w:rPr>
          <w:rStyle w:val="16"/>
          <w:rFonts w:hint="default" w:eastAsia="方正仿宋简体"/>
          <w:color w:val="auto"/>
          <w:sz w:val="28"/>
          <w:szCs w:val="32"/>
        </w:rPr>
        <w:t>1</w:t>
      </w:r>
      <w:r>
        <w:rPr>
          <w:rStyle w:val="16"/>
          <w:rFonts w:hint="default" w:eastAsia="方正仿宋简体"/>
          <w:color w:val="auto"/>
          <w:sz w:val="28"/>
          <w:szCs w:val="32"/>
        </w:rPr>
        <w:fldChar w:fldCharType="end"/>
      </w:r>
      <w:r>
        <w:rPr>
          <w:rStyle w:val="16"/>
          <w:rFonts w:hint="eastAsia" w:eastAsia="方正仿宋简体"/>
          <w:color w:val="auto"/>
          <w:sz w:val="28"/>
          <w:szCs w:val="32"/>
          <w:lang w:val="en-US" w:eastAsia="zh-CN"/>
        </w:rPr>
        <w:t>8</w:t>
      </w:r>
    </w:p>
    <w:p w14:paraId="4142F1E1">
      <w:pPr>
        <w:spacing w:line="560" w:lineRule="exact"/>
        <w:ind w:firstLine="880" w:firstLineChars="200"/>
        <w:rPr>
          <w:rFonts w:hint="eastAsia" w:ascii="方正仿宋简体" w:hAnsi="方正仿宋简体" w:eastAsia="方正仿宋简体" w:cs="方正仿宋简体"/>
          <w:color w:val="auto"/>
          <w:lang w:val="zh-CN"/>
        </w:rPr>
      </w:pPr>
      <w:r>
        <w:rPr>
          <w:rFonts w:eastAsia="方正仿宋简体"/>
          <w:color w:val="auto"/>
          <w:sz w:val="44"/>
          <w:szCs w:val="44"/>
          <w:lang w:val="zh-CN"/>
        </w:rPr>
        <w:fldChar w:fldCharType="end"/>
      </w:r>
    </w:p>
    <w:p w14:paraId="04D54579">
      <w:pPr>
        <w:spacing w:line="560" w:lineRule="exact"/>
        <w:ind w:firstLine="640" w:firstLineChars="200"/>
        <w:rPr>
          <w:rFonts w:hint="eastAsia" w:ascii="黑体" w:hAnsi="黑体" w:eastAsia="黑体" w:cs="黑体"/>
          <w:color w:val="auto"/>
          <w:sz w:val="32"/>
          <w:szCs w:val="32"/>
        </w:rPr>
      </w:pPr>
      <w:r>
        <w:rPr>
          <w:rFonts w:hint="eastAsia" w:ascii="方正仿宋简体" w:hAnsi="方正仿宋简体" w:eastAsia="方正仿宋简体" w:cs="方正仿宋简体"/>
          <w:color w:val="auto"/>
          <w:sz w:val="32"/>
          <w:szCs w:val="32"/>
        </w:rPr>
        <w:br w:type="page"/>
      </w:r>
      <w:bookmarkStart w:id="1" w:name="_Toc178059775"/>
      <w:r>
        <w:rPr>
          <w:rFonts w:hint="eastAsia" w:ascii="黑体" w:hAnsi="黑体" w:eastAsia="黑体" w:cs="黑体"/>
          <w:color w:val="auto"/>
          <w:sz w:val="32"/>
          <w:szCs w:val="32"/>
        </w:rPr>
        <w:t>一、部门（单位）概况</w:t>
      </w:r>
      <w:bookmarkEnd w:id="1"/>
    </w:p>
    <w:p w14:paraId="016B4E70">
      <w:pPr>
        <w:adjustRightInd w:val="0"/>
        <w:snapToGrid w:val="0"/>
        <w:spacing w:line="560" w:lineRule="exact"/>
        <w:ind w:firstLine="640" w:firstLineChars="200"/>
        <w:outlineLvl w:val="1"/>
        <w:rPr>
          <w:rFonts w:hint="eastAsia" w:ascii="楷体" w:hAnsi="楷体" w:eastAsia="楷体" w:cs="楷体"/>
          <w:color w:val="auto"/>
          <w:sz w:val="32"/>
          <w:szCs w:val="32"/>
        </w:rPr>
      </w:pPr>
      <w:bookmarkStart w:id="2" w:name="_Toc178059776"/>
      <w:r>
        <w:rPr>
          <w:rFonts w:hint="eastAsia" w:ascii="楷体" w:hAnsi="楷体" w:eastAsia="楷体" w:cs="楷体"/>
          <w:color w:val="auto"/>
          <w:sz w:val="32"/>
          <w:szCs w:val="32"/>
        </w:rPr>
        <w:t>（一）部门（单位）基本情况</w:t>
      </w:r>
      <w:bookmarkEnd w:id="2"/>
    </w:p>
    <w:p w14:paraId="4168FE82">
      <w:pPr>
        <w:spacing w:line="560" w:lineRule="exact"/>
        <w:ind w:firstLine="643" w:firstLineChars="200"/>
        <w:rPr>
          <w:rFonts w:hint="eastAsia" w:ascii="方正仿宋简体" w:hAnsi="方正仿宋简体" w:eastAsia="方正仿宋简体" w:cs="方正仿宋简体"/>
          <w:b/>
          <w:bCs/>
          <w:color w:val="auto"/>
          <w:sz w:val="32"/>
          <w:szCs w:val="32"/>
        </w:rPr>
      </w:pPr>
      <w:r>
        <w:rPr>
          <w:rFonts w:eastAsia="方正仿宋简体"/>
          <w:b/>
          <w:bCs/>
          <w:color w:val="auto"/>
          <w:sz w:val="32"/>
          <w:szCs w:val="32"/>
        </w:rPr>
        <w:t>1．</w:t>
      </w:r>
      <w:r>
        <w:rPr>
          <w:rFonts w:hint="eastAsia" w:ascii="方正仿宋简体" w:hAnsi="方正仿宋简体" w:eastAsia="方正仿宋简体" w:cs="方正仿宋简体"/>
          <w:b/>
          <w:bCs/>
          <w:color w:val="auto"/>
          <w:sz w:val="32"/>
          <w:szCs w:val="32"/>
        </w:rPr>
        <w:t>部门（单位）职能</w:t>
      </w:r>
    </w:p>
    <w:p w14:paraId="2C0CF589">
      <w:pPr>
        <w:spacing w:line="560" w:lineRule="exact"/>
        <w:ind w:firstLine="640" w:firstLineChars="200"/>
        <w:rPr>
          <w:rFonts w:hint="eastAsia" w:ascii="方正仿宋简体" w:hAnsi="方正仿宋简体" w:eastAsia="方正仿宋简体" w:cs="方正仿宋简体"/>
          <w:color w:val="auto"/>
          <w:sz w:val="32"/>
          <w:szCs w:val="32"/>
        </w:rPr>
      </w:pPr>
      <w:r>
        <w:rPr>
          <w:rFonts w:hint="eastAsia" w:ascii="方正仿宋简体" w:hAnsi="方正仿宋简体" w:eastAsia="方正仿宋简体" w:cs="方正仿宋简体"/>
          <w:color w:val="auto"/>
          <w:sz w:val="32"/>
          <w:szCs w:val="32"/>
        </w:rPr>
        <w:t>南京市妇女儿童活动中心（南京市妇女联合会新媒体服务中心）（以下简称市妇儿中心）隶属于南京市妇女联合会，</w:t>
      </w:r>
      <w:r>
        <w:rPr>
          <w:rFonts w:eastAsia="方正仿宋简体"/>
          <w:color w:val="auto"/>
          <w:sz w:val="32"/>
          <w:szCs w:val="32"/>
        </w:rPr>
        <w:t>于1989年5月</w:t>
      </w:r>
      <w:r>
        <w:rPr>
          <w:rFonts w:hint="eastAsia" w:ascii="方正仿宋简体" w:hAnsi="方正仿宋简体" w:eastAsia="方正仿宋简体" w:cs="方正仿宋简体"/>
          <w:color w:val="auto"/>
          <w:sz w:val="32"/>
          <w:szCs w:val="32"/>
        </w:rPr>
        <w:t>批准成立，为公益二类事业单位。</w:t>
      </w:r>
    </w:p>
    <w:p w14:paraId="6BF4394A">
      <w:pPr>
        <w:spacing w:line="560" w:lineRule="exact"/>
        <w:ind w:firstLine="640" w:firstLineChars="200"/>
        <w:rPr>
          <w:rFonts w:hint="eastAsia" w:ascii="方正仿宋简体" w:hAnsi="方正仿宋简体" w:eastAsia="方正仿宋简体" w:cs="方正仿宋简体"/>
          <w:color w:val="auto"/>
          <w:sz w:val="32"/>
          <w:szCs w:val="32"/>
        </w:rPr>
      </w:pPr>
      <w:r>
        <w:rPr>
          <w:rFonts w:hint="eastAsia" w:ascii="方正仿宋简体" w:hAnsi="方正仿宋简体" w:eastAsia="方正仿宋简体" w:cs="方正仿宋简体"/>
          <w:color w:val="auto"/>
          <w:sz w:val="32"/>
          <w:szCs w:val="32"/>
        </w:rPr>
        <w:t>市妇儿中心以习近平新时代中国特色社会主义思想为指引，坚持思想政治引领、突出公益属性，面向全市妇女儿童和家庭提供优质服务、开展素质教育。根据《南京市妇女儿童活动中心主要职责、内设机构和岗位设置方案》，市妇儿中心主要职能包括：</w:t>
      </w:r>
    </w:p>
    <w:p w14:paraId="4634668A">
      <w:pPr>
        <w:spacing w:line="560" w:lineRule="exact"/>
        <w:ind w:firstLine="640" w:firstLineChars="200"/>
        <w:rPr>
          <w:rFonts w:eastAsia="方正仿宋简体"/>
          <w:color w:val="auto"/>
          <w:sz w:val="32"/>
          <w:szCs w:val="32"/>
        </w:rPr>
      </w:pPr>
      <w:r>
        <w:rPr>
          <w:rFonts w:eastAsia="方正仿宋简体"/>
          <w:color w:val="auto"/>
          <w:sz w:val="32"/>
          <w:szCs w:val="32"/>
        </w:rPr>
        <w:t>（1）为广大妇女儿童提供各类培训与咨询服务，开展各类妇女文化知识及技能培训、妇女干部教育培训；开展儿童各类兴趣培训，向儿童提供全面校外素质教育。</w:t>
      </w:r>
    </w:p>
    <w:p w14:paraId="4E7FF83E">
      <w:pPr>
        <w:spacing w:line="560" w:lineRule="exact"/>
        <w:ind w:firstLine="640" w:firstLineChars="200"/>
        <w:rPr>
          <w:rFonts w:eastAsia="方正仿宋简体"/>
          <w:color w:val="auto"/>
          <w:sz w:val="32"/>
          <w:szCs w:val="32"/>
        </w:rPr>
      </w:pPr>
      <w:r>
        <w:rPr>
          <w:rFonts w:eastAsia="方正仿宋简体"/>
          <w:color w:val="auto"/>
          <w:sz w:val="32"/>
          <w:szCs w:val="32"/>
        </w:rPr>
        <w:t>（2）开展各类有益妇女儿童身心健康的公益活动；为妇女儿童心理、卫生保健、家庭教育、科技知识提供咨询服务。</w:t>
      </w:r>
    </w:p>
    <w:p w14:paraId="7EFE2ABA">
      <w:pPr>
        <w:spacing w:line="560" w:lineRule="exact"/>
        <w:ind w:firstLine="640" w:firstLineChars="200"/>
        <w:rPr>
          <w:rFonts w:eastAsia="方正仿宋简体"/>
          <w:color w:val="auto"/>
          <w:sz w:val="32"/>
          <w:szCs w:val="32"/>
        </w:rPr>
      </w:pPr>
      <w:r>
        <w:rPr>
          <w:rFonts w:eastAsia="方正仿宋简体"/>
          <w:color w:val="auto"/>
          <w:sz w:val="32"/>
          <w:szCs w:val="32"/>
        </w:rPr>
        <w:t>（3）协助市妇联为全市女性社会组织提供服务，承接政府购买的公益服务项目。</w:t>
      </w:r>
    </w:p>
    <w:p w14:paraId="517EC6DF">
      <w:pPr>
        <w:spacing w:line="560" w:lineRule="exact"/>
        <w:ind w:firstLine="640" w:firstLineChars="200"/>
        <w:rPr>
          <w:rFonts w:eastAsia="方正仿宋简体"/>
          <w:color w:val="auto"/>
          <w:sz w:val="32"/>
          <w:szCs w:val="32"/>
        </w:rPr>
      </w:pPr>
      <w:r>
        <w:rPr>
          <w:rFonts w:eastAsia="方正仿宋简体"/>
          <w:color w:val="auto"/>
          <w:sz w:val="32"/>
          <w:szCs w:val="32"/>
        </w:rPr>
        <w:t>（4）对区、街道各级妇儿活动中心开展活动提供业务指导和项目输出。</w:t>
      </w:r>
    </w:p>
    <w:p w14:paraId="7C0B06DC">
      <w:pPr>
        <w:spacing w:line="560" w:lineRule="exact"/>
        <w:ind w:firstLine="640" w:firstLineChars="200"/>
        <w:rPr>
          <w:rFonts w:eastAsia="方正仿宋简体"/>
          <w:color w:val="auto"/>
          <w:sz w:val="32"/>
          <w:szCs w:val="32"/>
        </w:rPr>
      </w:pPr>
      <w:r>
        <w:rPr>
          <w:rFonts w:eastAsia="方正仿宋简体"/>
          <w:color w:val="auto"/>
          <w:sz w:val="32"/>
          <w:szCs w:val="32"/>
        </w:rPr>
        <w:t>（5）落实妇联系统网络与新媒体建设工作和家庭建设工作。</w:t>
      </w:r>
    </w:p>
    <w:p w14:paraId="08537E52">
      <w:pPr>
        <w:spacing w:line="560" w:lineRule="exact"/>
        <w:ind w:firstLine="640" w:firstLineChars="200"/>
        <w:rPr>
          <w:rFonts w:hint="eastAsia" w:ascii="方正仿宋简体" w:hAnsi="方正仿宋简体" w:eastAsia="方正仿宋简体" w:cs="方正仿宋简体"/>
          <w:color w:val="auto"/>
          <w:sz w:val="32"/>
          <w:szCs w:val="32"/>
        </w:rPr>
      </w:pPr>
      <w:r>
        <w:rPr>
          <w:rFonts w:eastAsia="方正仿宋简体"/>
          <w:color w:val="auto"/>
          <w:sz w:val="32"/>
          <w:szCs w:val="32"/>
        </w:rPr>
        <w:t>（6）承担妇</w:t>
      </w:r>
      <w:r>
        <w:rPr>
          <w:rFonts w:hint="eastAsia" w:ascii="方正仿宋简体" w:hAnsi="方正仿宋简体" w:eastAsia="方正仿宋简体" w:cs="方正仿宋简体"/>
          <w:color w:val="auto"/>
          <w:sz w:val="32"/>
          <w:szCs w:val="32"/>
        </w:rPr>
        <w:t>联系统家庭文明、家庭教育、家庭服务和家庭研究工作。</w:t>
      </w:r>
    </w:p>
    <w:p w14:paraId="1DF624B0">
      <w:pPr>
        <w:spacing w:line="560" w:lineRule="exact"/>
        <w:ind w:firstLine="643" w:firstLineChars="200"/>
        <w:rPr>
          <w:rFonts w:eastAsia="方正仿宋简体"/>
          <w:b/>
          <w:bCs/>
          <w:color w:val="auto"/>
          <w:sz w:val="32"/>
          <w:szCs w:val="32"/>
        </w:rPr>
      </w:pPr>
      <w:r>
        <w:rPr>
          <w:rFonts w:eastAsia="方正仿宋简体"/>
          <w:b/>
          <w:bCs/>
          <w:color w:val="auto"/>
          <w:sz w:val="32"/>
          <w:szCs w:val="32"/>
        </w:rPr>
        <w:t>2．机构设置</w:t>
      </w:r>
    </w:p>
    <w:p w14:paraId="59D76BEA">
      <w:pPr>
        <w:spacing w:line="560" w:lineRule="exact"/>
        <w:ind w:firstLine="640" w:firstLineChars="200"/>
        <w:rPr>
          <w:rFonts w:hint="eastAsia" w:ascii="方正仿宋简体" w:hAnsi="方正仿宋简体" w:eastAsia="方正仿宋简体" w:cs="方正仿宋简体"/>
          <w:color w:val="auto"/>
          <w:sz w:val="32"/>
          <w:szCs w:val="32"/>
          <w:lang w:eastAsia="zh-CN"/>
        </w:rPr>
      </w:pPr>
      <w:r>
        <w:rPr>
          <w:rFonts w:hint="eastAsia" w:ascii="方正仿宋简体" w:hAnsi="方正仿宋简体" w:eastAsia="方正仿宋简体" w:cs="方正仿宋简体"/>
          <w:color w:val="auto"/>
          <w:sz w:val="32"/>
          <w:szCs w:val="32"/>
        </w:rPr>
        <w:t>市妇儿中心内设党政综合办公室、妇儿培训部、妇儿活动部、妇儿服务部四个部门</w:t>
      </w:r>
      <w:r>
        <w:rPr>
          <w:rFonts w:hint="eastAsia" w:ascii="方正仿宋简体" w:hAnsi="方正仿宋简体" w:eastAsia="方正仿宋简体" w:cs="方正仿宋简体"/>
          <w:color w:val="auto"/>
          <w:sz w:val="32"/>
          <w:szCs w:val="32"/>
          <w:lang w:eastAsia="zh-CN"/>
        </w:rPr>
        <w:t>。</w:t>
      </w:r>
    </w:p>
    <w:p w14:paraId="7B544A93">
      <w:pPr>
        <w:spacing w:line="560" w:lineRule="exact"/>
        <w:ind w:firstLine="643" w:firstLineChars="200"/>
        <w:rPr>
          <w:rFonts w:hint="eastAsia" w:ascii="方正仿宋简体" w:hAnsi="方正仿宋简体" w:eastAsia="方正仿宋简体" w:cs="方正仿宋简体"/>
          <w:color w:val="auto"/>
          <w:kern w:val="0"/>
          <w:sz w:val="32"/>
          <w:szCs w:val="32"/>
        </w:rPr>
      </w:pPr>
      <w:r>
        <w:rPr>
          <w:rFonts w:eastAsia="方正仿宋简体"/>
          <w:b/>
          <w:bCs/>
          <w:color w:val="auto"/>
          <w:sz w:val="32"/>
          <w:szCs w:val="32"/>
        </w:rPr>
        <w:t>3．</w:t>
      </w:r>
      <w:r>
        <w:rPr>
          <w:rFonts w:eastAsia="方正仿宋简体"/>
          <w:b/>
          <w:bCs/>
          <w:color w:val="auto"/>
          <w:kern w:val="0"/>
          <w:sz w:val="32"/>
          <w:szCs w:val="32"/>
        </w:rPr>
        <w:t>人员配置</w:t>
      </w:r>
    </w:p>
    <w:p w14:paraId="569F3B4C">
      <w:pPr>
        <w:spacing w:line="560" w:lineRule="exact"/>
        <w:ind w:firstLine="640" w:firstLineChars="200"/>
        <w:rPr>
          <w:rFonts w:eastAsia="方正仿宋简体"/>
          <w:color w:val="auto"/>
          <w:sz w:val="32"/>
          <w:szCs w:val="32"/>
        </w:rPr>
      </w:pPr>
      <w:r>
        <w:rPr>
          <w:rFonts w:eastAsia="方正仿宋简体"/>
          <w:color w:val="auto"/>
          <w:sz w:val="32"/>
          <w:szCs w:val="32"/>
        </w:rPr>
        <w:t>根据宁编字〔1990〕34号文件核准事业编制25名；宁人社函〔2013〕141号文件核准事业辅助人员员额28名。</w:t>
      </w:r>
    </w:p>
    <w:p w14:paraId="62AA98DE">
      <w:pPr>
        <w:spacing w:line="560" w:lineRule="exact"/>
        <w:ind w:firstLine="640" w:firstLineChars="200"/>
        <w:rPr>
          <w:rFonts w:hint="eastAsia" w:ascii="方正仿宋简体" w:hAnsi="方正仿宋简体" w:eastAsia="方正仿宋简体" w:cs="方正仿宋简体"/>
          <w:color w:val="auto"/>
          <w:sz w:val="32"/>
          <w:szCs w:val="32"/>
        </w:rPr>
      </w:pPr>
      <w:r>
        <w:rPr>
          <w:rFonts w:eastAsia="方正仿宋简体"/>
          <w:color w:val="auto"/>
          <w:sz w:val="32"/>
          <w:szCs w:val="32"/>
        </w:rPr>
        <w:t>截止</w:t>
      </w:r>
      <w:r>
        <w:rPr>
          <w:rFonts w:hint="eastAsia" w:eastAsia="方正仿宋简体"/>
          <w:color w:val="auto"/>
          <w:sz w:val="32"/>
          <w:szCs w:val="32"/>
          <w:lang w:eastAsia="zh-CN"/>
        </w:rPr>
        <w:t>2025</w:t>
      </w:r>
      <w:r>
        <w:rPr>
          <w:rFonts w:eastAsia="方正仿宋简体"/>
          <w:color w:val="auto"/>
          <w:sz w:val="32"/>
          <w:szCs w:val="32"/>
        </w:rPr>
        <w:t>年12月，市妇儿中心实有在职人员4</w:t>
      </w:r>
      <w:r>
        <w:rPr>
          <w:rFonts w:hint="eastAsia" w:eastAsia="方正仿宋简体"/>
          <w:color w:val="auto"/>
          <w:sz w:val="32"/>
          <w:szCs w:val="32"/>
          <w:lang w:val="en-US" w:eastAsia="zh-CN"/>
        </w:rPr>
        <w:t>5</w:t>
      </w:r>
      <w:r>
        <w:rPr>
          <w:rFonts w:eastAsia="方正仿宋简体"/>
          <w:color w:val="auto"/>
          <w:sz w:val="32"/>
          <w:szCs w:val="32"/>
        </w:rPr>
        <w:t>人，其中事业编制1</w:t>
      </w:r>
      <w:r>
        <w:rPr>
          <w:rFonts w:hint="eastAsia" w:eastAsia="方正仿宋简体"/>
          <w:color w:val="auto"/>
          <w:sz w:val="32"/>
          <w:szCs w:val="32"/>
          <w:lang w:val="en-US" w:eastAsia="zh-CN"/>
        </w:rPr>
        <w:t>7</w:t>
      </w:r>
      <w:r>
        <w:rPr>
          <w:rFonts w:eastAsia="方正仿宋简体"/>
          <w:color w:val="auto"/>
          <w:sz w:val="32"/>
          <w:szCs w:val="32"/>
        </w:rPr>
        <w:t>人，其他编外人员28人；另有退休人员7人。</w:t>
      </w:r>
    </w:p>
    <w:p w14:paraId="0C3341C7">
      <w:pPr>
        <w:spacing w:line="560" w:lineRule="exact"/>
        <w:ind w:firstLine="643" w:firstLineChars="200"/>
        <w:rPr>
          <w:rFonts w:eastAsia="方正仿宋简体"/>
          <w:b/>
          <w:bCs/>
          <w:color w:val="auto"/>
          <w:kern w:val="0"/>
          <w:sz w:val="32"/>
          <w:szCs w:val="32"/>
        </w:rPr>
      </w:pPr>
      <w:r>
        <w:rPr>
          <w:rFonts w:eastAsia="方正仿宋简体"/>
          <w:b/>
          <w:bCs/>
          <w:color w:val="auto"/>
          <w:sz w:val="32"/>
          <w:szCs w:val="32"/>
        </w:rPr>
        <w:t>4．</w:t>
      </w:r>
      <w:r>
        <w:rPr>
          <w:rFonts w:eastAsia="方正仿宋简体"/>
          <w:b/>
          <w:bCs/>
          <w:color w:val="auto"/>
          <w:kern w:val="0"/>
          <w:sz w:val="32"/>
          <w:szCs w:val="32"/>
        </w:rPr>
        <w:t>部门资产</w:t>
      </w:r>
    </w:p>
    <w:p w14:paraId="45461283">
      <w:pPr>
        <w:spacing w:line="560" w:lineRule="exact"/>
        <w:ind w:firstLine="640" w:firstLineChars="200"/>
        <w:rPr>
          <w:rFonts w:eastAsia="方正仿宋简体"/>
          <w:color w:val="auto"/>
          <w:sz w:val="32"/>
          <w:szCs w:val="32"/>
        </w:rPr>
      </w:pPr>
      <w:bookmarkStart w:id="3" w:name="_Toc178059777"/>
      <w:r>
        <w:rPr>
          <w:rFonts w:eastAsia="方正仿宋简体"/>
          <w:color w:val="auto"/>
          <w:sz w:val="32"/>
          <w:szCs w:val="32"/>
        </w:rPr>
        <w:t>截至</w:t>
      </w:r>
      <w:r>
        <w:rPr>
          <w:rFonts w:hint="eastAsia" w:eastAsia="方正仿宋简体"/>
          <w:color w:val="auto"/>
          <w:sz w:val="32"/>
          <w:szCs w:val="32"/>
          <w:lang w:eastAsia="zh-CN"/>
        </w:rPr>
        <w:t>2025</w:t>
      </w:r>
      <w:r>
        <w:rPr>
          <w:rFonts w:eastAsia="方正仿宋简体"/>
          <w:color w:val="auto"/>
          <w:sz w:val="32"/>
          <w:szCs w:val="32"/>
        </w:rPr>
        <w:t>年12月31日，市妇儿中心资产总额1</w:t>
      </w:r>
      <w:r>
        <w:rPr>
          <w:rFonts w:hint="eastAsia" w:eastAsia="方正仿宋简体"/>
          <w:color w:val="auto"/>
          <w:sz w:val="32"/>
          <w:szCs w:val="32"/>
          <w:lang w:val="en-US" w:eastAsia="zh-CN"/>
        </w:rPr>
        <w:t>244.48</w:t>
      </w:r>
      <w:r>
        <w:rPr>
          <w:rFonts w:eastAsia="方正仿宋简体"/>
          <w:color w:val="auto"/>
          <w:sz w:val="32"/>
          <w:szCs w:val="32"/>
        </w:rPr>
        <w:t>万元，其中：固定资产净值</w:t>
      </w:r>
      <w:r>
        <w:rPr>
          <w:rFonts w:hint="eastAsia" w:eastAsia="方正仿宋简体"/>
          <w:color w:val="auto"/>
          <w:sz w:val="32"/>
          <w:szCs w:val="32"/>
          <w:lang w:val="en-US" w:eastAsia="zh-CN"/>
        </w:rPr>
        <w:t>135.42</w:t>
      </w:r>
      <w:r>
        <w:rPr>
          <w:rFonts w:eastAsia="方正仿宋简体"/>
          <w:color w:val="auto"/>
          <w:sz w:val="32"/>
          <w:szCs w:val="32"/>
        </w:rPr>
        <w:t>万元，货币资金</w:t>
      </w:r>
      <w:r>
        <w:rPr>
          <w:rFonts w:hint="eastAsia" w:eastAsia="方正仿宋简体"/>
          <w:color w:val="auto"/>
          <w:sz w:val="32"/>
          <w:szCs w:val="32"/>
          <w:lang w:val="en-US" w:eastAsia="zh-CN"/>
        </w:rPr>
        <w:t>1046.65</w:t>
      </w:r>
      <w:r>
        <w:rPr>
          <w:rFonts w:eastAsia="方正仿宋简体"/>
          <w:color w:val="auto"/>
          <w:sz w:val="32"/>
          <w:szCs w:val="32"/>
        </w:rPr>
        <w:t>万元；负债</w:t>
      </w:r>
      <w:r>
        <w:rPr>
          <w:rFonts w:hint="eastAsia" w:eastAsia="方正仿宋简体"/>
          <w:color w:val="auto"/>
          <w:sz w:val="32"/>
          <w:szCs w:val="32"/>
          <w:lang w:val="en-US" w:eastAsia="zh-CN"/>
        </w:rPr>
        <w:t>143.46</w:t>
      </w:r>
      <w:r>
        <w:rPr>
          <w:rFonts w:eastAsia="方正仿宋简体"/>
          <w:color w:val="auto"/>
          <w:sz w:val="32"/>
          <w:szCs w:val="32"/>
        </w:rPr>
        <w:t>万元，其中：其他应</w:t>
      </w:r>
      <w:r>
        <w:rPr>
          <w:rFonts w:hint="eastAsia" w:eastAsia="方正仿宋简体"/>
          <w:color w:val="auto"/>
          <w:sz w:val="32"/>
          <w:szCs w:val="32"/>
          <w:lang w:val="en-US" w:eastAsia="zh-CN"/>
        </w:rPr>
        <w:t>付款83.54</w:t>
      </w:r>
      <w:r>
        <w:rPr>
          <w:rFonts w:eastAsia="方正仿宋简体"/>
          <w:color w:val="auto"/>
          <w:sz w:val="32"/>
          <w:szCs w:val="32"/>
        </w:rPr>
        <w:t>万元，主要为</w:t>
      </w:r>
      <w:r>
        <w:rPr>
          <w:rFonts w:hint="eastAsia" w:eastAsia="方正仿宋简体"/>
          <w:color w:val="auto"/>
          <w:sz w:val="32"/>
          <w:szCs w:val="32"/>
          <w:lang w:val="en-US" w:eastAsia="zh-CN"/>
        </w:rPr>
        <w:t>收取的出租房屋保证金</w:t>
      </w:r>
      <w:r>
        <w:rPr>
          <w:rFonts w:eastAsia="方正仿宋简体"/>
          <w:color w:val="auto"/>
          <w:sz w:val="32"/>
          <w:szCs w:val="32"/>
        </w:rPr>
        <w:t>。</w:t>
      </w:r>
    </w:p>
    <w:p w14:paraId="19D36E9B">
      <w:pPr>
        <w:spacing w:line="560" w:lineRule="exact"/>
        <w:rPr>
          <w:rFonts w:hint="eastAsia" w:ascii="方正仿宋简体" w:hAnsi="方正仿宋简体" w:eastAsia="方正仿宋简体" w:cs="方正仿宋简体"/>
          <w:color w:val="auto"/>
          <w:sz w:val="32"/>
          <w:szCs w:val="32"/>
        </w:rPr>
      </w:pPr>
      <w:r>
        <w:rPr>
          <w:rFonts w:hint="eastAsia" w:ascii="方正仿宋简体" w:hAnsi="方正仿宋简体" w:eastAsia="方正仿宋简体" w:cs="方正仿宋简体"/>
          <w:color w:val="auto"/>
          <w:sz w:val="32"/>
          <w:szCs w:val="32"/>
        </w:rPr>
        <w:t>我单位目前管理及使用的办公、教学、活动及其他场地，为市级机关事务管理局所有。</w:t>
      </w:r>
    </w:p>
    <w:p w14:paraId="22652BAC">
      <w:pPr>
        <w:adjustRightInd w:val="0"/>
        <w:snapToGrid w:val="0"/>
        <w:spacing w:line="560" w:lineRule="exact"/>
        <w:ind w:firstLine="640" w:firstLineChars="200"/>
        <w:outlineLvl w:val="1"/>
        <w:rPr>
          <w:rFonts w:hint="eastAsia" w:ascii="楷体" w:hAnsi="楷体" w:eastAsia="楷体" w:cs="楷体"/>
          <w:color w:val="auto"/>
          <w:sz w:val="32"/>
          <w:szCs w:val="32"/>
        </w:rPr>
      </w:pPr>
      <w:r>
        <w:rPr>
          <w:rFonts w:hint="eastAsia" w:ascii="楷体" w:hAnsi="楷体" w:eastAsia="楷体" w:cs="楷体"/>
          <w:color w:val="auto"/>
          <w:sz w:val="32"/>
          <w:szCs w:val="32"/>
        </w:rPr>
        <w:t>（二）部门（单位）资金情况</w:t>
      </w:r>
      <w:bookmarkEnd w:id="3"/>
    </w:p>
    <w:p w14:paraId="7CFBE4B9">
      <w:pPr>
        <w:spacing w:line="560" w:lineRule="exact"/>
        <w:ind w:firstLine="643" w:firstLineChars="200"/>
        <w:rPr>
          <w:rFonts w:eastAsia="方正仿宋简体"/>
          <w:b/>
          <w:bCs/>
          <w:color w:val="auto"/>
          <w:kern w:val="0"/>
          <w:sz w:val="32"/>
          <w:szCs w:val="32"/>
        </w:rPr>
      </w:pPr>
      <w:r>
        <w:rPr>
          <w:rFonts w:eastAsia="方正仿宋简体"/>
          <w:b/>
          <w:bCs/>
          <w:color w:val="auto"/>
          <w:sz w:val="32"/>
          <w:szCs w:val="32"/>
        </w:rPr>
        <w:t>1．</w:t>
      </w:r>
      <w:r>
        <w:rPr>
          <w:rFonts w:eastAsia="方正仿宋简体"/>
          <w:b/>
          <w:bCs/>
          <w:color w:val="auto"/>
          <w:kern w:val="0"/>
          <w:sz w:val="32"/>
          <w:szCs w:val="32"/>
        </w:rPr>
        <w:t>部门收支情况</w:t>
      </w:r>
    </w:p>
    <w:p w14:paraId="6A543044">
      <w:pPr>
        <w:snapToGrid w:val="0"/>
        <w:spacing w:line="520" w:lineRule="exact"/>
        <w:ind w:firstLine="640" w:firstLineChars="200"/>
        <w:rPr>
          <w:rFonts w:eastAsia="仿宋_GB2312"/>
          <w:color w:val="auto"/>
          <w:sz w:val="32"/>
          <w:szCs w:val="32"/>
          <w:highlight w:val="none"/>
          <w:lang w:bidi="ar"/>
        </w:rPr>
      </w:pPr>
      <w:r>
        <w:rPr>
          <w:rFonts w:hint="eastAsia" w:eastAsia="方正仿宋简体"/>
          <w:color w:val="auto"/>
          <w:sz w:val="32"/>
          <w:szCs w:val="32"/>
          <w:lang w:eastAsia="zh-CN"/>
        </w:rPr>
        <w:t>2025</w:t>
      </w:r>
      <w:r>
        <w:rPr>
          <w:rFonts w:eastAsia="方正仿宋简体"/>
          <w:color w:val="auto"/>
          <w:sz w:val="32"/>
          <w:szCs w:val="32"/>
        </w:rPr>
        <w:t>年，我单位年初预算安排数</w:t>
      </w:r>
      <w:r>
        <w:rPr>
          <w:rFonts w:hint="eastAsia" w:eastAsia="方正仿宋简体"/>
          <w:color w:val="auto"/>
          <w:sz w:val="32"/>
          <w:szCs w:val="32"/>
        </w:rPr>
        <w:t>1,608.07万元</w:t>
      </w:r>
      <w:r>
        <w:rPr>
          <w:rFonts w:eastAsia="方正仿宋简体"/>
          <w:color w:val="auto"/>
          <w:sz w:val="32"/>
          <w:szCs w:val="32"/>
        </w:rPr>
        <w:t>，其中：基</w:t>
      </w:r>
      <w:r>
        <w:rPr>
          <w:rFonts w:eastAsia="方正仿宋简体"/>
          <w:color w:val="auto"/>
          <w:sz w:val="32"/>
          <w:szCs w:val="32"/>
        </w:rPr>
        <w:t>本支出</w:t>
      </w:r>
      <w:r>
        <w:rPr>
          <w:rFonts w:hint="eastAsia" w:eastAsia="方正仿宋简体"/>
          <w:color w:val="auto"/>
          <w:sz w:val="32"/>
          <w:szCs w:val="32"/>
        </w:rPr>
        <w:t>758.07万元</w:t>
      </w:r>
      <w:r>
        <w:rPr>
          <w:rFonts w:eastAsia="方正仿宋简体"/>
          <w:color w:val="auto"/>
          <w:sz w:val="32"/>
          <w:szCs w:val="32"/>
        </w:rPr>
        <w:t>，项目支出</w:t>
      </w:r>
      <w:r>
        <w:rPr>
          <w:rFonts w:hint="eastAsia" w:eastAsia="方正仿宋简体"/>
          <w:color w:val="auto"/>
          <w:sz w:val="32"/>
          <w:szCs w:val="32"/>
        </w:rPr>
        <w:t>850万元</w:t>
      </w:r>
      <w:r>
        <w:rPr>
          <w:rFonts w:eastAsia="方正仿宋简体"/>
          <w:color w:val="auto"/>
          <w:sz w:val="32"/>
          <w:szCs w:val="32"/>
        </w:rPr>
        <w:t>。调整后预算</w:t>
      </w:r>
      <w:r>
        <w:rPr>
          <w:rFonts w:hint="eastAsia" w:eastAsia="方正仿宋简体"/>
          <w:color w:val="auto"/>
          <w:sz w:val="32"/>
          <w:szCs w:val="32"/>
        </w:rPr>
        <w:t>1895.81万元</w:t>
      </w:r>
      <w:r>
        <w:rPr>
          <w:rFonts w:eastAsia="方正仿宋简体"/>
          <w:color w:val="auto"/>
          <w:sz w:val="32"/>
          <w:szCs w:val="32"/>
        </w:rPr>
        <w:t>，其中：基本支出</w:t>
      </w:r>
      <w:r>
        <w:rPr>
          <w:rFonts w:hint="eastAsia" w:eastAsia="方正仿宋简体"/>
          <w:color w:val="auto"/>
          <w:sz w:val="32"/>
          <w:szCs w:val="32"/>
          <w:lang w:val="en-US" w:eastAsia="zh-CN"/>
        </w:rPr>
        <w:t>915.09</w:t>
      </w:r>
      <w:r>
        <w:rPr>
          <w:rFonts w:eastAsia="方正仿宋简体"/>
          <w:color w:val="auto"/>
          <w:sz w:val="32"/>
          <w:szCs w:val="32"/>
        </w:rPr>
        <w:t>万元，调</w:t>
      </w:r>
      <w:r>
        <w:rPr>
          <w:rFonts w:hint="eastAsia" w:eastAsia="方正仿宋简体"/>
          <w:color w:val="auto"/>
          <w:sz w:val="32"/>
          <w:szCs w:val="32"/>
          <w:lang w:val="en-US" w:eastAsia="zh-CN"/>
        </w:rPr>
        <w:t>增157.02</w:t>
      </w:r>
      <w:r>
        <w:rPr>
          <w:rFonts w:eastAsia="方正仿宋简体"/>
          <w:color w:val="auto"/>
          <w:sz w:val="32"/>
          <w:szCs w:val="32"/>
        </w:rPr>
        <w:t>万元，主要原因是</w:t>
      </w:r>
      <w:r>
        <w:rPr>
          <w:rFonts w:hint="eastAsia" w:eastAsia="仿宋_GB2312"/>
          <w:color w:val="auto"/>
          <w:sz w:val="32"/>
          <w:szCs w:val="32"/>
          <w:lang w:val="en-US" w:eastAsia="zh-CN" w:bidi="ar"/>
        </w:rPr>
        <w:t>我单位2025年新增2名在编专业技术人员因此产生相应费用增加，且</w:t>
      </w:r>
      <w:r>
        <w:rPr>
          <w:rFonts w:hint="eastAsia" w:ascii="仿宋_GB2312" w:hAnsi="仿宋" w:eastAsia="仿宋_GB2312"/>
          <w:color w:val="auto"/>
          <w:sz w:val="32"/>
          <w:szCs w:val="32"/>
        </w:rPr>
        <w:t>2024年度在编人员绩效工资等人员费用未支付</w:t>
      </w:r>
      <w:r>
        <w:rPr>
          <w:rFonts w:hint="eastAsia" w:eastAsia="仿宋_GB2312"/>
          <w:color w:val="auto"/>
          <w:sz w:val="32"/>
          <w:szCs w:val="32"/>
          <w:lang w:val="en-US" w:eastAsia="zh-CN" w:bidi="ar"/>
        </w:rPr>
        <w:t>部分</w:t>
      </w:r>
      <w:r>
        <w:rPr>
          <w:rFonts w:hint="eastAsia" w:eastAsia="仿宋_GB2312"/>
          <w:color w:val="auto"/>
          <w:sz w:val="32"/>
          <w:szCs w:val="32"/>
          <w:highlight w:val="none"/>
          <w:lang w:val="en-US" w:eastAsia="zh-CN" w:bidi="ar"/>
        </w:rPr>
        <w:t>及2025年度调增部分工资福利以追加预算形式安排；</w:t>
      </w:r>
      <w:r>
        <w:rPr>
          <w:rFonts w:eastAsia="方正仿宋简体"/>
          <w:color w:val="auto"/>
          <w:sz w:val="32"/>
          <w:szCs w:val="32"/>
          <w:highlight w:val="none"/>
        </w:rPr>
        <w:t>项目支出</w:t>
      </w:r>
      <w:r>
        <w:rPr>
          <w:rFonts w:hint="eastAsia" w:eastAsia="方正仿宋简体"/>
          <w:color w:val="auto"/>
          <w:sz w:val="32"/>
          <w:szCs w:val="32"/>
          <w:highlight w:val="none"/>
          <w:lang w:val="en-US" w:eastAsia="zh-CN"/>
        </w:rPr>
        <w:t>980.72</w:t>
      </w:r>
      <w:r>
        <w:rPr>
          <w:rFonts w:eastAsia="方正仿宋简体"/>
          <w:color w:val="auto"/>
          <w:sz w:val="32"/>
          <w:szCs w:val="32"/>
          <w:highlight w:val="none"/>
        </w:rPr>
        <w:t>万元，调</w:t>
      </w:r>
      <w:r>
        <w:rPr>
          <w:rFonts w:hint="eastAsia" w:eastAsia="方正仿宋简体"/>
          <w:color w:val="auto"/>
          <w:sz w:val="32"/>
          <w:szCs w:val="32"/>
          <w:highlight w:val="none"/>
          <w:lang w:val="en-US" w:eastAsia="zh-CN"/>
        </w:rPr>
        <w:t>增130.72</w:t>
      </w:r>
      <w:r>
        <w:rPr>
          <w:rFonts w:eastAsia="方正仿宋简体"/>
          <w:color w:val="auto"/>
          <w:sz w:val="32"/>
          <w:szCs w:val="32"/>
          <w:highlight w:val="none"/>
        </w:rPr>
        <w:t>万元，主要原因是</w:t>
      </w:r>
      <w:r>
        <w:rPr>
          <w:rFonts w:hint="eastAsia" w:eastAsia="仿宋_GB2312"/>
          <w:color w:val="auto"/>
          <w:sz w:val="32"/>
          <w:szCs w:val="32"/>
          <w:highlight w:val="none"/>
          <w:lang w:bidi="ar"/>
        </w:rPr>
        <w:t>我单位梳理原有服务体系，细分服务对象，精准提升服务质量，有效提升</w:t>
      </w:r>
      <w:r>
        <w:rPr>
          <w:rFonts w:hint="eastAsia" w:eastAsia="仿宋_GB2312"/>
          <w:color w:val="auto"/>
          <w:sz w:val="32"/>
          <w:szCs w:val="32"/>
          <w:highlight w:val="none"/>
          <w:lang w:val="en-US" w:eastAsia="zh-CN" w:bidi="ar"/>
        </w:rPr>
        <w:t>事业</w:t>
      </w:r>
      <w:r>
        <w:rPr>
          <w:rFonts w:hint="eastAsia" w:eastAsia="仿宋_GB2312"/>
          <w:color w:val="auto"/>
          <w:sz w:val="32"/>
          <w:szCs w:val="32"/>
          <w:highlight w:val="none"/>
          <w:lang w:bidi="ar"/>
        </w:rPr>
        <w:t>收入</w:t>
      </w:r>
      <w:r>
        <w:rPr>
          <w:rFonts w:hint="eastAsia" w:eastAsia="仿宋_GB2312"/>
          <w:color w:val="auto"/>
          <w:sz w:val="32"/>
          <w:szCs w:val="32"/>
          <w:highlight w:val="none"/>
          <w:lang w:eastAsia="zh-CN" w:bidi="ar"/>
        </w:rPr>
        <w:t>，</w:t>
      </w:r>
      <w:r>
        <w:rPr>
          <w:rFonts w:hint="eastAsia" w:eastAsia="仿宋_GB2312"/>
          <w:color w:val="auto"/>
          <w:sz w:val="32"/>
          <w:szCs w:val="32"/>
          <w:highlight w:val="none"/>
          <w:lang w:val="en-US" w:eastAsia="zh-CN" w:bidi="ar"/>
        </w:rPr>
        <w:t>因此相应产生了项目支出增加</w:t>
      </w:r>
      <w:r>
        <w:rPr>
          <w:rFonts w:hint="eastAsia" w:eastAsia="仿宋_GB2312"/>
          <w:color w:val="auto"/>
          <w:sz w:val="32"/>
          <w:szCs w:val="32"/>
          <w:highlight w:val="none"/>
          <w:lang w:bidi="ar"/>
        </w:rPr>
        <w:t>。</w:t>
      </w:r>
    </w:p>
    <w:p w14:paraId="037061A3">
      <w:pPr>
        <w:spacing w:line="560" w:lineRule="exact"/>
        <w:ind w:firstLine="640" w:firstLineChars="200"/>
        <w:rPr>
          <w:rFonts w:eastAsia="方正仿宋简体"/>
          <w:color w:val="auto"/>
          <w:sz w:val="32"/>
          <w:szCs w:val="32"/>
          <w:highlight w:val="none"/>
        </w:rPr>
      </w:pPr>
      <w:r>
        <w:rPr>
          <w:rFonts w:hint="eastAsia" w:eastAsia="方正仿宋简体"/>
          <w:color w:val="auto"/>
          <w:sz w:val="32"/>
          <w:szCs w:val="32"/>
          <w:highlight w:val="none"/>
          <w:lang w:eastAsia="zh-CN"/>
        </w:rPr>
        <w:t>2025</w:t>
      </w:r>
      <w:r>
        <w:rPr>
          <w:rFonts w:eastAsia="方正仿宋简体"/>
          <w:color w:val="auto"/>
          <w:sz w:val="32"/>
          <w:szCs w:val="32"/>
          <w:highlight w:val="none"/>
        </w:rPr>
        <w:t>年，我单位决算支出数</w:t>
      </w:r>
      <w:r>
        <w:rPr>
          <w:rFonts w:hint="eastAsia" w:eastAsia="方正仿宋简体"/>
          <w:color w:val="auto"/>
          <w:sz w:val="32"/>
          <w:szCs w:val="32"/>
          <w:highlight w:val="none"/>
          <w:lang w:val="en-US" w:eastAsia="zh-CN"/>
        </w:rPr>
        <w:t>1895.81</w:t>
      </w:r>
      <w:r>
        <w:rPr>
          <w:rFonts w:eastAsia="方正仿宋简体"/>
          <w:color w:val="auto"/>
          <w:sz w:val="32"/>
          <w:szCs w:val="32"/>
          <w:highlight w:val="none"/>
        </w:rPr>
        <w:t>万元，执行率</w:t>
      </w:r>
      <w:r>
        <w:rPr>
          <w:rFonts w:hint="eastAsia" w:eastAsia="方正仿宋简体"/>
          <w:color w:val="auto"/>
          <w:sz w:val="32"/>
          <w:szCs w:val="32"/>
          <w:highlight w:val="none"/>
          <w:lang w:val="en-US" w:eastAsia="zh-CN"/>
        </w:rPr>
        <w:t>100</w:t>
      </w:r>
      <w:r>
        <w:rPr>
          <w:rFonts w:eastAsia="方正仿宋简体"/>
          <w:color w:val="auto"/>
          <w:sz w:val="32"/>
          <w:szCs w:val="32"/>
          <w:highlight w:val="none"/>
        </w:rPr>
        <w:t>%。其中：基本支出</w:t>
      </w:r>
      <w:r>
        <w:rPr>
          <w:rFonts w:hint="eastAsia" w:eastAsia="方正仿宋简体"/>
          <w:color w:val="auto"/>
          <w:sz w:val="32"/>
          <w:szCs w:val="32"/>
          <w:highlight w:val="none"/>
          <w:lang w:val="en-US" w:eastAsia="zh-CN"/>
        </w:rPr>
        <w:t>915.09</w:t>
      </w:r>
      <w:r>
        <w:rPr>
          <w:rFonts w:eastAsia="方正仿宋简体"/>
          <w:color w:val="auto"/>
          <w:sz w:val="32"/>
          <w:szCs w:val="32"/>
          <w:highlight w:val="none"/>
        </w:rPr>
        <w:t>万元，预算执行率</w:t>
      </w:r>
      <w:r>
        <w:rPr>
          <w:rFonts w:hint="eastAsia" w:eastAsia="方正仿宋简体"/>
          <w:color w:val="auto"/>
          <w:sz w:val="32"/>
          <w:szCs w:val="32"/>
          <w:highlight w:val="none"/>
          <w:lang w:val="en-US" w:eastAsia="zh-CN"/>
        </w:rPr>
        <w:t>100</w:t>
      </w:r>
      <w:r>
        <w:rPr>
          <w:rFonts w:eastAsia="方正仿宋简体"/>
          <w:color w:val="auto"/>
          <w:sz w:val="32"/>
          <w:szCs w:val="32"/>
          <w:highlight w:val="none"/>
        </w:rPr>
        <w:t>%；项目支出</w:t>
      </w:r>
      <w:r>
        <w:rPr>
          <w:rFonts w:hint="eastAsia" w:eastAsia="方正仿宋简体"/>
          <w:color w:val="auto"/>
          <w:sz w:val="32"/>
          <w:szCs w:val="32"/>
          <w:highlight w:val="none"/>
          <w:lang w:val="en-US" w:eastAsia="zh-CN"/>
        </w:rPr>
        <w:t>980.72</w:t>
      </w:r>
      <w:r>
        <w:rPr>
          <w:rFonts w:eastAsia="方正仿宋简体"/>
          <w:color w:val="auto"/>
          <w:sz w:val="32"/>
          <w:szCs w:val="32"/>
          <w:highlight w:val="none"/>
        </w:rPr>
        <w:t>万元，预算执行率</w:t>
      </w:r>
      <w:r>
        <w:rPr>
          <w:rFonts w:hint="eastAsia" w:eastAsia="方正仿宋简体"/>
          <w:color w:val="auto"/>
          <w:sz w:val="32"/>
          <w:szCs w:val="32"/>
          <w:highlight w:val="none"/>
          <w:lang w:val="en-US" w:eastAsia="zh-CN"/>
        </w:rPr>
        <w:t>100</w:t>
      </w:r>
      <w:r>
        <w:rPr>
          <w:rFonts w:eastAsia="方正仿宋简体"/>
          <w:color w:val="auto"/>
          <w:sz w:val="32"/>
          <w:szCs w:val="32"/>
          <w:highlight w:val="none"/>
        </w:rPr>
        <w:t>%。</w:t>
      </w:r>
    </w:p>
    <w:p w14:paraId="1F57F84B">
      <w:pPr>
        <w:spacing w:line="560" w:lineRule="exact"/>
        <w:ind w:firstLine="640" w:firstLineChars="200"/>
        <w:rPr>
          <w:rFonts w:hint="eastAsia" w:ascii="方正仿宋简体" w:hAnsi="方正仿宋简体" w:eastAsia="方正仿宋简体" w:cs="方正仿宋简体"/>
          <w:color w:val="auto"/>
          <w:sz w:val="28"/>
          <w:szCs w:val="28"/>
          <w:highlight w:val="none"/>
        </w:rPr>
      </w:pPr>
      <w:r>
        <w:rPr>
          <w:rFonts w:eastAsia="方正仿宋简体"/>
          <w:color w:val="auto"/>
          <w:sz w:val="32"/>
          <w:szCs w:val="32"/>
          <w:highlight w:val="none"/>
        </w:rPr>
        <w:t>详情见表1。</w:t>
      </w:r>
      <w:bookmarkStart w:id="4" w:name="_Toc157713185"/>
    </w:p>
    <w:p w14:paraId="40E14699">
      <w:pPr>
        <w:spacing w:line="560" w:lineRule="exact"/>
        <w:jc w:val="center"/>
        <w:rPr>
          <w:rFonts w:hint="eastAsia" w:ascii="方正仿宋简体" w:hAnsi="方正仿宋简体" w:eastAsia="方正仿宋简体" w:cs="方正仿宋简体"/>
          <w:color w:val="auto"/>
          <w:sz w:val="28"/>
          <w:szCs w:val="28"/>
        </w:rPr>
      </w:pPr>
      <w:r>
        <w:rPr>
          <w:rFonts w:eastAsia="方正仿宋简体"/>
          <w:color w:val="auto"/>
          <w:sz w:val="28"/>
          <w:szCs w:val="28"/>
        </w:rPr>
        <w:t>表1</w:t>
      </w:r>
      <w:r>
        <w:rPr>
          <w:rFonts w:hint="eastAsia" w:eastAsia="方正仿宋简体"/>
          <w:color w:val="auto"/>
          <w:sz w:val="28"/>
          <w:szCs w:val="28"/>
          <w:lang w:eastAsia="zh-CN"/>
        </w:rPr>
        <w:t>2025</w:t>
      </w:r>
      <w:r>
        <w:rPr>
          <w:rFonts w:eastAsia="方正仿宋简体"/>
          <w:color w:val="auto"/>
          <w:sz w:val="28"/>
          <w:szCs w:val="28"/>
        </w:rPr>
        <w:t>年南京市妇女儿童活动中心预算安排与支出情况</w:t>
      </w:r>
    </w:p>
    <w:p w14:paraId="7B2EBC9E">
      <w:pPr>
        <w:spacing w:line="560" w:lineRule="exact"/>
        <w:ind w:right="633"/>
        <w:jc w:val="right"/>
        <w:rPr>
          <w:rFonts w:hint="eastAsia" w:ascii="方正仿宋简体" w:hAnsi="方正仿宋简体" w:eastAsia="方正仿宋简体" w:cs="方正仿宋简体"/>
          <w:color w:val="auto"/>
          <w:sz w:val="28"/>
          <w:szCs w:val="28"/>
        </w:rPr>
      </w:pPr>
      <w:r>
        <w:rPr>
          <w:rFonts w:hint="eastAsia" w:ascii="方正仿宋简体" w:hAnsi="方正仿宋简体" w:eastAsia="方正仿宋简体" w:cs="方正仿宋简体"/>
          <w:color w:val="auto"/>
          <w:sz w:val="28"/>
          <w:szCs w:val="28"/>
        </w:rPr>
        <w:t>单位：万元</w:t>
      </w:r>
    </w:p>
    <w:tbl>
      <w:tblPr>
        <w:tblStyle w:val="12"/>
        <w:tblW w:w="495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3"/>
        <w:gridCol w:w="1962"/>
        <w:gridCol w:w="1904"/>
        <w:gridCol w:w="1623"/>
        <w:gridCol w:w="1814"/>
      </w:tblGrid>
      <w:tr w14:paraId="71B08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blHeader/>
          <w:jc w:val="center"/>
        </w:trPr>
        <w:tc>
          <w:tcPr>
            <w:tcW w:w="904" w:type="pct"/>
            <w:noWrap/>
            <w:vAlign w:val="center"/>
          </w:tcPr>
          <w:p w14:paraId="0A6149C5">
            <w:pPr>
              <w:jc w:val="center"/>
              <w:rPr>
                <w:rFonts w:eastAsia="方正仿宋简体"/>
                <w:color w:val="auto"/>
                <w:sz w:val="28"/>
                <w:szCs w:val="28"/>
              </w:rPr>
            </w:pPr>
            <w:r>
              <w:rPr>
                <w:rFonts w:eastAsia="方正仿宋简体"/>
                <w:color w:val="auto"/>
                <w:sz w:val="28"/>
                <w:szCs w:val="28"/>
              </w:rPr>
              <w:t>支出类别</w:t>
            </w:r>
          </w:p>
        </w:tc>
        <w:tc>
          <w:tcPr>
            <w:tcW w:w="1100" w:type="pct"/>
            <w:noWrap/>
            <w:vAlign w:val="center"/>
          </w:tcPr>
          <w:p w14:paraId="7385AA64">
            <w:pPr>
              <w:jc w:val="center"/>
              <w:rPr>
                <w:rFonts w:eastAsia="方正仿宋简体"/>
                <w:color w:val="auto"/>
                <w:sz w:val="28"/>
                <w:szCs w:val="28"/>
              </w:rPr>
            </w:pPr>
            <w:r>
              <w:rPr>
                <w:rFonts w:eastAsia="方正仿宋简体"/>
                <w:color w:val="auto"/>
                <w:sz w:val="28"/>
                <w:szCs w:val="28"/>
              </w:rPr>
              <w:t>年初预算数</w:t>
            </w:r>
          </w:p>
        </w:tc>
        <w:tc>
          <w:tcPr>
            <w:tcW w:w="1067" w:type="pct"/>
            <w:noWrap/>
            <w:vAlign w:val="center"/>
          </w:tcPr>
          <w:p w14:paraId="5A3B7A97">
            <w:pPr>
              <w:jc w:val="center"/>
              <w:rPr>
                <w:rFonts w:eastAsia="方正仿宋简体"/>
                <w:color w:val="auto"/>
                <w:sz w:val="28"/>
                <w:szCs w:val="28"/>
              </w:rPr>
            </w:pPr>
            <w:r>
              <w:rPr>
                <w:rFonts w:eastAsia="方正仿宋简体"/>
                <w:color w:val="auto"/>
                <w:sz w:val="28"/>
                <w:szCs w:val="28"/>
              </w:rPr>
              <w:t>调整后预算数</w:t>
            </w:r>
          </w:p>
        </w:tc>
        <w:tc>
          <w:tcPr>
            <w:tcW w:w="910" w:type="pct"/>
            <w:noWrap/>
            <w:vAlign w:val="center"/>
          </w:tcPr>
          <w:p w14:paraId="348114A1">
            <w:pPr>
              <w:jc w:val="center"/>
              <w:rPr>
                <w:rFonts w:eastAsia="方正仿宋简体"/>
                <w:color w:val="auto"/>
                <w:sz w:val="28"/>
                <w:szCs w:val="28"/>
              </w:rPr>
            </w:pPr>
            <w:r>
              <w:rPr>
                <w:rFonts w:eastAsia="方正仿宋简体"/>
                <w:color w:val="auto"/>
                <w:sz w:val="28"/>
                <w:szCs w:val="28"/>
              </w:rPr>
              <w:t>实际支出数</w:t>
            </w:r>
          </w:p>
        </w:tc>
        <w:tc>
          <w:tcPr>
            <w:tcW w:w="1017" w:type="pct"/>
            <w:noWrap/>
            <w:vAlign w:val="center"/>
          </w:tcPr>
          <w:p w14:paraId="36ADC5A7">
            <w:pPr>
              <w:jc w:val="center"/>
              <w:rPr>
                <w:rFonts w:eastAsia="方正仿宋简体"/>
                <w:color w:val="auto"/>
                <w:sz w:val="28"/>
                <w:szCs w:val="28"/>
              </w:rPr>
            </w:pPr>
            <w:r>
              <w:rPr>
                <w:rFonts w:eastAsia="方正仿宋简体"/>
                <w:color w:val="auto"/>
                <w:sz w:val="28"/>
                <w:szCs w:val="28"/>
              </w:rPr>
              <w:t>预算执行率</w:t>
            </w:r>
          </w:p>
        </w:tc>
      </w:tr>
      <w:tr w14:paraId="04E1B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904" w:type="pct"/>
            <w:noWrap/>
            <w:vAlign w:val="center"/>
          </w:tcPr>
          <w:p w14:paraId="59E299AB">
            <w:pPr>
              <w:jc w:val="center"/>
              <w:rPr>
                <w:rFonts w:eastAsia="方正仿宋简体"/>
                <w:color w:val="auto"/>
                <w:sz w:val="28"/>
                <w:szCs w:val="28"/>
              </w:rPr>
            </w:pPr>
            <w:r>
              <w:rPr>
                <w:rFonts w:eastAsia="方正仿宋简体"/>
                <w:color w:val="auto"/>
                <w:sz w:val="28"/>
                <w:szCs w:val="28"/>
              </w:rPr>
              <w:t>基本支出</w:t>
            </w:r>
          </w:p>
        </w:tc>
        <w:tc>
          <w:tcPr>
            <w:tcW w:w="1100" w:type="pct"/>
            <w:noWrap/>
            <w:vAlign w:val="center"/>
          </w:tcPr>
          <w:p w14:paraId="4110ACC1">
            <w:pPr>
              <w:jc w:val="center"/>
              <w:rPr>
                <w:rFonts w:hint="default" w:eastAsia="方正仿宋简体"/>
                <w:color w:val="auto"/>
                <w:sz w:val="28"/>
                <w:szCs w:val="28"/>
                <w:lang w:val="en-US" w:eastAsia="zh-CN"/>
              </w:rPr>
            </w:pPr>
            <w:r>
              <w:rPr>
                <w:rFonts w:hint="eastAsia" w:eastAsia="方正仿宋简体"/>
                <w:color w:val="auto"/>
                <w:sz w:val="28"/>
                <w:szCs w:val="28"/>
                <w:lang w:val="en-US" w:eastAsia="zh-CN"/>
              </w:rPr>
              <w:t>758.07</w:t>
            </w:r>
          </w:p>
        </w:tc>
        <w:tc>
          <w:tcPr>
            <w:tcW w:w="1067" w:type="pct"/>
            <w:noWrap/>
            <w:vAlign w:val="top"/>
          </w:tcPr>
          <w:p w14:paraId="53035A73">
            <w:pPr>
              <w:jc w:val="center"/>
              <w:rPr>
                <w:rFonts w:hint="default" w:eastAsia="方正仿宋简体"/>
                <w:color w:val="auto"/>
                <w:sz w:val="28"/>
                <w:szCs w:val="28"/>
                <w:highlight w:val="none"/>
                <w:lang w:val="en-US" w:eastAsia="zh-CN"/>
              </w:rPr>
            </w:pPr>
            <w:r>
              <w:rPr>
                <w:rFonts w:hint="eastAsia" w:eastAsia="方正仿宋简体"/>
                <w:color w:val="auto"/>
                <w:sz w:val="28"/>
                <w:szCs w:val="28"/>
                <w:highlight w:val="none"/>
                <w:lang w:val="en-US" w:eastAsia="zh-CN"/>
              </w:rPr>
              <w:t>915.09</w:t>
            </w:r>
          </w:p>
        </w:tc>
        <w:tc>
          <w:tcPr>
            <w:tcW w:w="910" w:type="pct"/>
            <w:noWrap/>
            <w:vAlign w:val="top"/>
          </w:tcPr>
          <w:p w14:paraId="3E916D21">
            <w:pPr>
              <w:jc w:val="center"/>
              <w:rPr>
                <w:rFonts w:hint="default" w:eastAsia="方正仿宋简体"/>
                <w:color w:val="auto"/>
                <w:sz w:val="28"/>
                <w:szCs w:val="28"/>
                <w:highlight w:val="none"/>
                <w:lang w:val="en-US" w:eastAsia="zh-CN"/>
              </w:rPr>
            </w:pPr>
            <w:r>
              <w:rPr>
                <w:rFonts w:hint="eastAsia" w:eastAsia="方正仿宋简体"/>
                <w:color w:val="auto"/>
                <w:sz w:val="28"/>
                <w:szCs w:val="28"/>
                <w:highlight w:val="none"/>
                <w:lang w:val="en-US" w:eastAsia="zh-CN"/>
              </w:rPr>
              <w:t>915.09</w:t>
            </w:r>
          </w:p>
        </w:tc>
        <w:tc>
          <w:tcPr>
            <w:tcW w:w="1017" w:type="pct"/>
            <w:noWrap/>
            <w:vAlign w:val="top"/>
          </w:tcPr>
          <w:p w14:paraId="02CEE3DA">
            <w:pPr>
              <w:jc w:val="center"/>
              <w:rPr>
                <w:rFonts w:eastAsia="方正仿宋简体"/>
                <w:color w:val="auto"/>
                <w:sz w:val="28"/>
                <w:szCs w:val="28"/>
              </w:rPr>
            </w:pPr>
            <w:r>
              <w:rPr>
                <w:rFonts w:hint="eastAsia" w:eastAsia="方正仿宋简体"/>
                <w:color w:val="auto"/>
                <w:sz w:val="28"/>
                <w:szCs w:val="28"/>
                <w:lang w:val="en-US" w:eastAsia="zh-CN"/>
              </w:rPr>
              <w:t>100.00</w:t>
            </w:r>
            <w:r>
              <w:rPr>
                <w:rFonts w:eastAsia="方正仿宋简体"/>
                <w:color w:val="auto"/>
                <w:sz w:val="28"/>
                <w:szCs w:val="28"/>
              </w:rPr>
              <w:t>%</w:t>
            </w:r>
          </w:p>
        </w:tc>
      </w:tr>
      <w:tr w14:paraId="105A6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904" w:type="pct"/>
            <w:noWrap/>
            <w:vAlign w:val="center"/>
          </w:tcPr>
          <w:p w14:paraId="5BDDC1C2">
            <w:pPr>
              <w:jc w:val="center"/>
              <w:rPr>
                <w:rFonts w:eastAsia="方正仿宋简体"/>
                <w:color w:val="auto"/>
                <w:sz w:val="28"/>
                <w:szCs w:val="28"/>
              </w:rPr>
            </w:pPr>
            <w:r>
              <w:rPr>
                <w:rFonts w:eastAsia="方正仿宋简体"/>
                <w:color w:val="auto"/>
                <w:sz w:val="28"/>
                <w:szCs w:val="28"/>
              </w:rPr>
              <w:t>项目支出</w:t>
            </w:r>
          </w:p>
        </w:tc>
        <w:tc>
          <w:tcPr>
            <w:tcW w:w="1100" w:type="pct"/>
            <w:noWrap/>
            <w:vAlign w:val="top"/>
          </w:tcPr>
          <w:p w14:paraId="19B43E6C">
            <w:pPr>
              <w:jc w:val="center"/>
              <w:rPr>
                <w:rFonts w:hint="default" w:eastAsia="方正仿宋简体"/>
                <w:color w:val="auto"/>
                <w:sz w:val="28"/>
                <w:szCs w:val="28"/>
                <w:lang w:val="en-US" w:eastAsia="zh-CN"/>
              </w:rPr>
            </w:pPr>
            <w:r>
              <w:rPr>
                <w:rFonts w:hint="eastAsia" w:eastAsia="方正仿宋简体"/>
                <w:color w:val="auto"/>
                <w:sz w:val="28"/>
                <w:szCs w:val="28"/>
                <w:lang w:val="en-US" w:eastAsia="zh-CN"/>
              </w:rPr>
              <w:t>850.00</w:t>
            </w:r>
          </w:p>
        </w:tc>
        <w:tc>
          <w:tcPr>
            <w:tcW w:w="1067" w:type="pct"/>
            <w:noWrap/>
            <w:vAlign w:val="top"/>
          </w:tcPr>
          <w:p w14:paraId="26BECD2C">
            <w:pPr>
              <w:jc w:val="center"/>
              <w:rPr>
                <w:rFonts w:hint="default" w:eastAsia="方正仿宋简体"/>
                <w:color w:val="auto"/>
                <w:sz w:val="28"/>
                <w:szCs w:val="28"/>
                <w:highlight w:val="none"/>
                <w:lang w:val="en-US" w:eastAsia="zh-CN"/>
              </w:rPr>
            </w:pPr>
            <w:r>
              <w:rPr>
                <w:rFonts w:hint="eastAsia" w:eastAsia="方正仿宋简体"/>
                <w:color w:val="auto"/>
                <w:sz w:val="28"/>
                <w:szCs w:val="28"/>
                <w:highlight w:val="none"/>
                <w:lang w:val="en-US" w:eastAsia="zh-CN"/>
              </w:rPr>
              <w:t>980.72</w:t>
            </w:r>
          </w:p>
        </w:tc>
        <w:tc>
          <w:tcPr>
            <w:tcW w:w="910" w:type="pct"/>
            <w:noWrap/>
            <w:vAlign w:val="top"/>
          </w:tcPr>
          <w:p w14:paraId="5B09F6A6">
            <w:pPr>
              <w:jc w:val="center"/>
              <w:rPr>
                <w:rFonts w:hint="default" w:eastAsia="方正仿宋简体"/>
                <w:color w:val="auto"/>
                <w:sz w:val="28"/>
                <w:szCs w:val="28"/>
                <w:highlight w:val="none"/>
                <w:lang w:val="en-US" w:eastAsia="zh-CN"/>
              </w:rPr>
            </w:pPr>
            <w:r>
              <w:rPr>
                <w:rFonts w:hint="eastAsia" w:eastAsia="方正仿宋简体"/>
                <w:color w:val="auto"/>
                <w:sz w:val="28"/>
                <w:szCs w:val="28"/>
                <w:highlight w:val="none"/>
                <w:lang w:val="en-US" w:eastAsia="zh-CN"/>
              </w:rPr>
              <w:t>980.72</w:t>
            </w:r>
          </w:p>
        </w:tc>
        <w:tc>
          <w:tcPr>
            <w:tcW w:w="1017" w:type="pct"/>
            <w:noWrap/>
            <w:vAlign w:val="top"/>
          </w:tcPr>
          <w:p w14:paraId="31199107">
            <w:pPr>
              <w:jc w:val="center"/>
              <w:rPr>
                <w:rFonts w:eastAsia="方正仿宋简体"/>
                <w:color w:val="auto"/>
                <w:sz w:val="28"/>
                <w:szCs w:val="28"/>
              </w:rPr>
            </w:pPr>
            <w:r>
              <w:rPr>
                <w:rFonts w:hint="eastAsia" w:eastAsia="方正仿宋简体"/>
                <w:color w:val="auto"/>
                <w:sz w:val="28"/>
                <w:szCs w:val="28"/>
                <w:lang w:val="en-US" w:eastAsia="zh-CN"/>
              </w:rPr>
              <w:t>100.00</w:t>
            </w:r>
            <w:r>
              <w:rPr>
                <w:rFonts w:eastAsia="方正仿宋简体"/>
                <w:color w:val="auto"/>
                <w:sz w:val="28"/>
                <w:szCs w:val="28"/>
              </w:rPr>
              <w:t>%</w:t>
            </w:r>
          </w:p>
        </w:tc>
      </w:tr>
      <w:tr w14:paraId="2F145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904" w:type="pct"/>
            <w:noWrap w:val="0"/>
            <w:vAlign w:val="center"/>
          </w:tcPr>
          <w:p w14:paraId="60D7BFA4">
            <w:pPr>
              <w:jc w:val="center"/>
              <w:rPr>
                <w:rFonts w:eastAsia="方正仿宋简体"/>
                <w:color w:val="auto"/>
                <w:sz w:val="28"/>
                <w:szCs w:val="28"/>
              </w:rPr>
            </w:pPr>
            <w:r>
              <w:rPr>
                <w:rFonts w:eastAsia="方正仿宋简体"/>
                <w:color w:val="auto"/>
                <w:sz w:val="28"/>
                <w:szCs w:val="28"/>
              </w:rPr>
              <w:t>合计</w:t>
            </w:r>
          </w:p>
        </w:tc>
        <w:tc>
          <w:tcPr>
            <w:tcW w:w="1100" w:type="pct"/>
            <w:noWrap/>
            <w:vAlign w:val="top"/>
          </w:tcPr>
          <w:p w14:paraId="5A0D0239">
            <w:pPr>
              <w:jc w:val="center"/>
              <w:rPr>
                <w:rFonts w:hint="default" w:eastAsia="方正仿宋简体"/>
                <w:color w:val="auto"/>
                <w:sz w:val="28"/>
                <w:szCs w:val="28"/>
                <w:lang w:val="en-US" w:eastAsia="zh-CN"/>
              </w:rPr>
            </w:pPr>
            <w:r>
              <w:rPr>
                <w:rFonts w:hint="eastAsia" w:eastAsia="方正仿宋简体"/>
                <w:color w:val="auto"/>
                <w:sz w:val="28"/>
                <w:szCs w:val="28"/>
                <w:lang w:val="en-US" w:eastAsia="zh-CN"/>
              </w:rPr>
              <w:t>1608.07</w:t>
            </w:r>
          </w:p>
        </w:tc>
        <w:tc>
          <w:tcPr>
            <w:tcW w:w="1067" w:type="pct"/>
            <w:noWrap/>
            <w:vAlign w:val="top"/>
          </w:tcPr>
          <w:p w14:paraId="599A9DBC">
            <w:pPr>
              <w:jc w:val="center"/>
              <w:rPr>
                <w:rFonts w:hint="default" w:eastAsia="方正仿宋简体"/>
                <w:color w:val="auto"/>
                <w:sz w:val="28"/>
                <w:szCs w:val="28"/>
                <w:highlight w:val="none"/>
                <w:lang w:val="en-US" w:eastAsia="zh-CN"/>
              </w:rPr>
            </w:pPr>
            <w:r>
              <w:rPr>
                <w:rFonts w:hint="eastAsia" w:eastAsia="方正仿宋简体"/>
                <w:color w:val="auto"/>
                <w:sz w:val="28"/>
                <w:szCs w:val="28"/>
                <w:highlight w:val="none"/>
                <w:lang w:val="en-US" w:eastAsia="zh-CN"/>
              </w:rPr>
              <w:t>1895.81</w:t>
            </w:r>
          </w:p>
        </w:tc>
        <w:tc>
          <w:tcPr>
            <w:tcW w:w="910" w:type="pct"/>
            <w:noWrap/>
            <w:vAlign w:val="top"/>
          </w:tcPr>
          <w:p w14:paraId="4EA18894">
            <w:pPr>
              <w:jc w:val="center"/>
              <w:rPr>
                <w:rFonts w:hint="default" w:eastAsia="方正仿宋简体"/>
                <w:color w:val="auto"/>
                <w:sz w:val="28"/>
                <w:szCs w:val="28"/>
                <w:highlight w:val="none"/>
                <w:lang w:val="en-US" w:eastAsia="zh-CN"/>
              </w:rPr>
            </w:pPr>
            <w:r>
              <w:rPr>
                <w:rFonts w:hint="eastAsia" w:eastAsia="方正仿宋简体"/>
                <w:color w:val="auto"/>
                <w:sz w:val="28"/>
                <w:szCs w:val="28"/>
                <w:highlight w:val="none"/>
                <w:lang w:val="en-US" w:eastAsia="zh-CN"/>
              </w:rPr>
              <w:t>1895.81</w:t>
            </w:r>
          </w:p>
        </w:tc>
        <w:tc>
          <w:tcPr>
            <w:tcW w:w="1017" w:type="pct"/>
            <w:noWrap/>
            <w:vAlign w:val="top"/>
          </w:tcPr>
          <w:p w14:paraId="0759FC6A">
            <w:pPr>
              <w:jc w:val="center"/>
              <w:rPr>
                <w:rFonts w:eastAsia="方正仿宋简体"/>
                <w:color w:val="auto"/>
                <w:sz w:val="28"/>
                <w:szCs w:val="28"/>
              </w:rPr>
            </w:pPr>
            <w:r>
              <w:rPr>
                <w:rFonts w:hint="eastAsia" w:eastAsia="方正仿宋简体"/>
                <w:color w:val="auto"/>
                <w:sz w:val="28"/>
                <w:szCs w:val="28"/>
                <w:lang w:val="en-US" w:eastAsia="zh-CN"/>
              </w:rPr>
              <w:t>100.00</w:t>
            </w:r>
            <w:r>
              <w:rPr>
                <w:rFonts w:eastAsia="方正仿宋简体"/>
                <w:color w:val="auto"/>
                <w:sz w:val="28"/>
                <w:szCs w:val="28"/>
              </w:rPr>
              <w:t>%</w:t>
            </w:r>
          </w:p>
        </w:tc>
      </w:tr>
    </w:tbl>
    <w:p w14:paraId="52C82F61">
      <w:pPr>
        <w:spacing w:line="560" w:lineRule="exact"/>
        <w:ind w:firstLine="643" w:firstLineChars="200"/>
        <w:rPr>
          <w:rFonts w:eastAsia="方正仿宋简体"/>
          <w:b/>
          <w:bCs/>
          <w:color w:val="auto"/>
          <w:kern w:val="0"/>
          <w:sz w:val="32"/>
          <w:szCs w:val="32"/>
        </w:rPr>
      </w:pPr>
      <w:r>
        <w:rPr>
          <w:rFonts w:eastAsia="方正仿宋简体"/>
          <w:b/>
          <w:bCs/>
          <w:color w:val="auto"/>
          <w:sz w:val="32"/>
          <w:szCs w:val="32"/>
        </w:rPr>
        <w:t>2．</w:t>
      </w:r>
      <w:r>
        <w:rPr>
          <w:rFonts w:hint="eastAsia" w:eastAsia="方正仿宋简体"/>
          <w:b/>
          <w:bCs/>
          <w:color w:val="auto"/>
          <w:sz w:val="32"/>
          <w:szCs w:val="32"/>
          <w:lang w:eastAsia="zh-CN"/>
        </w:rPr>
        <w:t>“三公”经费</w:t>
      </w:r>
      <w:r>
        <w:rPr>
          <w:rFonts w:eastAsia="方正仿宋简体"/>
          <w:b/>
          <w:bCs/>
          <w:color w:val="auto"/>
          <w:kern w:val="0"/>
          <w:sz w:val="32"/>
          <w:szCs w:val="32"/>
        </w:rPr>
        <w:t>情况</w:t>
      </w:r>
    </w:p>
    <w:p w14:paraId="469A603D">
      <w:pPr>
        <w:shd w:val="clear"/>
        <w:autoSpaceDE w:val="0"/>
        <w:autoSpaceDN w:val="0"/>
        <w:adjustRightInd w:val="0"/>
        <w:spacing w:line="600" w:lineRule="exact"/>
        <w:ind w:firstLine="640"/>
        <w:rPr>
          <w:rFonts w:hint="default" w:eastAsia="方正仿宋简体"/>
          <w:color w:val="auto"/>
          <w:sz w:val="32"/>
          <w:szCs w:val="32"/>
          <w:highlight w:val="none"/>
          <w:lang w:val="en-US" w:eastAsia="zh-CN"/>
        </w:rPr>
      </w:pPr>
      <w:bookmarkStart w:id="5" w:name="_Toc178059778"/>
      <w:r>
        <w:rPr>
          <w:rFonts w:hint="default" w:eastAsia="方正仿宋简体"/>
          <w:color w:val="auto"/>
          <w:sz w:val="32"/>
          <w:szCs w:val="32"/>
          <w:highlight w:val="none"/>
          <w:lang w:val="en-US" w:eastAsia="zh-CN"/>
        </w:rPr>
        <w:t>2025年</w:t>
      </w:r>
      <w:r>
        <w:rPr>
          <w:rFonts w:hint="eastAsia" w:eastAsia="方正仿宋简体"/>
          <w:color w:val="auto"/>
          <w:sz w:val="32"/>
          <w:szCs w:val="32"/>
          <w:highlight w:val="none"/>
          <w:lang w:val="en-US" w:eastAsia="zh-CN"/>
        </w:rPr>
        <w:t>“三公经费”调整后预</w:t>
      </w:r>
      <w:r>
        <w:rPr>
          <w:rFonts w:hint="default" w:eastAsia="方正仿宋简体"/>
          <w:color w:val="auto"/>
          <w:sz w:val="32"/>
          <w:szCs w:val="32"/>
          <w:highlight w:val="none"/>
          <w:lang w:val="en-US" w:eastAsia="zh-CN"/>
        </w:rPr>
        <w:t>算数为</w:t>
      </w:r>
      <w:r>
        <w:rPr>
          <w:rFonts w:hint="eastAsia" w:eastAsia="方正仿宋简体"/>
          <w:color w:val="auto"/>
          <w:sz w:val="32"/>
          <w:szCs w:val="32"/>
          <w:highlight w:val="none"/>
          <w:lang w:val="en-US" w:eastAsia="zh-CN"/>
        </w:rPr>
        <w:t>2.06</w:t>
      </w:r>
      <w:r>
        <w:rPr>
          <w:rFonts w:hint="default" w:eastAsia="方正仿宋简体"/>
          <w:color w:val="auto"/>
          <w:sz w:val="32"/>
          <w:szCs w:val="32"/>
          <w:highlight w:val="none"/>
          <w:lang w:val="en-US" w:eastAsia="zh-CN"/>
        </w:rPr>
        <w:t>万元，决算支出数为</w:t>
      </w:r>
      <w:r>
        <w:rPr>
          <w:rFonts w:hint="eastAsia" w:eastAsia="方正仿宋简体"/>
          <w:color w:val="auto"/>
          <w:sz w:val="32"/>
          <w:szCs w:val="32"/>
          <w:highlight w:val="none"/>
          <w:lang w:val="en-US" w:eastAsia="zh-CN"/>
        </w:rPr>
        <w:t>2.06</w:t>
      </w:r>
      <w:r>
        <w:rPr>
          <w:rFonts w:hint="default" w:eastAsia="方正仿宋简体"/>
          <w:color w:val="auto"/>
          <w:sz w:val="32"/>
          <w:szCs w:val="32"/>
          <w:highlight w:val="none"/>
          <w:lang w:val="en-US" w:eastAsia="zh-CN"/>
        </w:rPr>
        <w:t>万元，实际执行占预算100%。详情见表2。</w:t>
      </w:r>
    </w:p>
    <w:p w14:paraId="1B8D09D7">
      <w:pPr>
        <w:shd w:val="clear"/>
        <w:spacing w:line="560" w:lineRule="exact"/>
        <w:jc w:val="center"/>
        <w:rPr>
          <w:rFonts w:hint="default" w:eastAsia="方正仿宋简体"/>
          <w:color w:val="auto"/>
          <w:sz w:val="28"/>
          <w:szCs w:val="28"/>
          <w:highlight w:val="none"/>
          <w:lang w:val="en-US" w:eastAsia="zh-CN"/>
        </w:rPr>
      </w:pPr>
      <w:r>
        <w:rPr>
          <w:rFonts w:hint="default" w:eastAsia="方正仿宋简体"/>
          <w:color w:val="auto"/>
          <w:sz w:val="28"/>
          <w:szCs w:val="28"/>
          <w:highlight w:val="none"/>
          <w:lang w:val="en-US" w:eastAsia="zh-CN"/>
        </w:rPr>
        <w:t>表2202</w:t>
      </w:r>
      <w:r>
        <w:rPr>
          <w:rFonts w:hint="eastAsia" w:eastAsia="方正仿宋简体"/>
          <w:color w:val="auto"/>
          <w:sz w:val="28"/>
          <w:szCs w:val="28"/>
          <w:highlight w:val="none"/>
          <w:lang w:val="en-US" w:eastAsia="zh-CN"/>
        </w:rPr>
        <w:t>5</w:t>
      </w:r>
      <w:r>
        <w:rPr>
          <w:rFonts w:hint="default" w:eastAsia="方正仿宋简体"/>
          <w:color w:val="auto"/>
          <w:sz w:val="28"/>
          <w:szCs w:val="28"/>
          <w:highlight w:val="none"/>
          <w:lang w:val="en-US" w:eastAsia="zh-CN"/>
        </w:rPr>
        <w:t>年市</w:t>
      </w:r>
      <w:r>
        <w:rPr>
          <w:rFonts w:hint="eastAsia" w:eastAsia="方正仿宋简体"/>
          <w:color w:val="auto"/>
          <w:sz w:val="28"/>
          <w:szCs w:val="28"/>
          <w:highlight w:val="none"/>
          <w:lang w:val="en-US" w:eastAsia="zh-CN"/>
        </w:rPr>
        <w:t>妇儿中心部门“三公经费”预算与执行</w:t>
      </w:r>
      <w:r>
        <w:rPr>
          <w:rFonts w:hint="default" w:eastAsia="方正仿宋简体"/>
          <w:color w:val="auto"/>
          <w:sz w:val="28"/>
          <w:szCs w:val="28"/>
          <w:highlight w:val="none"/>
          <w:lang w:val="en-US" w:eastAsia="zh-CN"/>
        </w:rPr>
        <w:t>情况表</w:t>
      </w:r>
    </w:p>
    <w:p w14:paraId="19A026E0">
      <w:pPr>
        <w:shd w:val="clear"/>
        <w:spacing w:line="560" w:lineRule="exact"/>
        <w:ind w:right="633"/>
        <w:jc w:val="right"/>
        <w:rPr>
          <w:rFonts w:hint="default" w:ascii="方正仿宋简体" w:hAnsi="方正仿宋简体" w:eastAsia="方正仿宋简体" w:cs="方正仿宋简体"/>
          <w:color w:val="auto"/>
          <w:sz w:val="28"/>
          <w:szCs w:val="28"/>
          <w:highlight w:val="none"/>
          <w:lang w:val="en-US" w:eastAsia="zh-CN"/>
        </w:rPr>
      </w:pPr>
      <w:r>
        <w:rPr>
          <w:rFonts w:hint="default" w:ascii="方正仿宋简体" w:hAnsi="方正仿宋简体" w:eastAsia="方正仿宋简体" w:cs="方正仿宋简体"/>
          <w:color w:val="auto"/>
          <w:sz w:val="28"/>
          <w:szCs w:val="28"/>
          <w:highlight w:val="none"/>
          <w:lang w:val="en-US" w:eastAsia="zh-CN"/>
        </w:rPr>
        <w:t>单位：万元</w:t>
      </w:r>
    </w:p>
    <w:tbl>
      <w:tblPr>
        <w:tblStyle w:val="12"/>
        <w:tblW w:w="91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00"/>
        <w:tblLayout w:type="fixed"/>
        <w:tblCellMar>
          <w:top w:w="0" w:type="dxa"/>
          <w:left w:w="108" w:type="dxa"/>
          <w:bottom w:w="0" w:type="dxa"/>
          <w:right w:w="108" w:type="dxa"/>
        </w:tblCellMar>
      </w:tblPr>
      <w:tblGrid>
        <w:gridCol w:w="3207"/>
        <w:gridCol w:w="2270"/>
        <w:gridCol w:w="1860"/>
        <w:gridCol w:w="1840"/>
      </w:tblGrid>
      <w:tr w14:paraId="17647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3207" w:type="dxa"/>
            <w:shd w:val="clear" w:color="auto" w:fill="auto"/>
            <w:noWrap w:val="0"/>
            <w:vAlign w:val="center"/>
          </w:tcPr>
          <w:p w14:paraId="228E682E">
            <w:pPr>
              <w:shd w:val="clear"/>
              <w:jc w:val="center"/>
              <w:rPr>
                <w:rFonts w:hint="default" w:eastAsia="方正仿宋简体"/>
                <w:color w:val="auto"/>
                <w:sz w:val="28"/>
                <w:szCs w:val="28"/>
                <w:highlight w:val="none"/>
                <w:lang w:eastAsia="zh-CN"/>
              </w:rPr>
            </w:pPr>
            <w:r>
              <w:rPr>
                <w:rFonts w:hint="default" w:eastAsia="方正仿宋简体"/>
                <w:color w:val="auto"/>
                <w:sz w:val="28"/>
                <w:szCs w:val="28"/>
                <w:highlight w:val="none"/>
                <w:lang w:val="en-US" w:eastAsia="zh-CN"/>
              </w:rPr>
              <w:t>项目</w:t>
            </w:r>
          </w:p>
        </w:tc>
        <w:tc>
          <w:tcPr>
            <w:tcW w:w="2270" w:type="dxa"/>
            <w:shd w:val="clear" w:color="auto" w:fill="auto"/>
            <w:noWrap w:val="0"/>
            <w:vAlign w:val="center"/>
          </w:tcPr>
          <w:p w14:paraId="111A415A">
            <w:pPr>
              <w:shd w:val="clear"/>
              <w:jc w:val="center"/>
              <w:rPr>
                <w:rFonts w:hint="default" w:eastAsia="方正仿宋简体"/>
                <w:color w:val="auto"/>
                <w:sz w:val="28"/>
                <w:szCs w:val="28"/>
                <w:highlight w:val="none"/>
              </w:rPr>
            </w:pPr>
            <w:r>
              <w:rPr>
                <w:rFonts w:hint="default" w:eastAsia="方正仿宋简体"/>
                <w:color w:val="auto"/>
                <w:sz w:val="28"/>
                <w:szCs w:val="28"/>
                <w:highlight w:val="none"/>
              </w:rPr>
              <w:t>调整后预算数</w:t>
            </w:r>
          </w:p>
        </w:tc>
        <w:tc>
          <w:tcPr>
            <w:tcW w:w="1860" w:type="dxa"/>
            <w:shd w:val="clear" w:color="auto" w:fill="auto"/>
            <w:noWrap w:val="0"/>
            <w:vAlign w:val="center"/>
          </w:tcPr>
          <w:p w14:paraId="6F6D80CA">
            <w:pPr>
              <w:shd w:val="clear"/>
              <w:jc w:val="center"/>
              <w:rPr>
                <w:rFonts w:hint="default" w:eastAsia="方正仿宋简体"/>
                <w:color w:val="auto"/>
                <w:sz w:val="28"/>
                <w:szCs w:val="28"/>
                <w:highlight w:val="none"/>
              </w:rPr>
            </w:pPr>
            <w:r>
              <w:rPr>
                <w:rFonts w:hint="default" w:eastAsia="方正仿宋简体"/>
                <w:color w:val="auto"/>
                <w:sz w:val="28"/>
                <w:szCs w:val="28"/>
                <w:highlight w:val="none"/>
              </w:rPr>
              <w:t>实际支出数</w:t>
            </w:r>
          </w:p>
        </w:tc>
        <w:tc>
          <w:tcPr>
            <w:tcW w:w="1840" w:type="dxa"/>
            <w:shd w:val="clear" w:color="auto" w:fill="auto"/>
            <w:noWrap w:val="0"/>
            <w:vAlign w:val="center"/>
          </w:tcPr>
          <w:p w14:paraId="6B745E13">
            <w:pPr>
              <w:shd w:val="clear"/>
              <w:jc w:val="center"/>
              <w:rPr>
                <w:rFonts w:hint="default" w:eastAsia="方正仿宋简体"/>
                <w:color w:val="auto"/>
                <w:sz w:val="28"/>
                <w:szCs w:val="28"/>
                <w:highlight w:val="none"/>
              </w:rPr>
            </w:pPr>
            <w:r>
              <w:rPr>
                <w:rFonts w:hint="default" w:eastAsia="方正仿宋简体"/>
                <w:color w:val="auto"/>
                <w:sz w:val="28"/>
                <w:szCs w:val="28"/>
                <w:highlight w:val="none"/>
              </w:rPr>
              <w:t>预算执行率</w:t>
            </w:r>
          </w:p>
        </w:tc>
      </w:tr>
      <w:tr w14:paraId="51E36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00"/>
          <w:tblCellMar>
            <w:top w:w="0" w:type="dxa"/>
            <w:left w:w="108" w:type="dxa"/>
            <w:bottom w:w="0" w:type="dxa"/>
            <w:right w:w="108" w:type="dxa"/>
          </w:tblCellMar>
        </w:tblPrEx>
        <w:trPr>
          <w:jc w:val="center"/>
        </w:trPr>
        <w:tc>
          <w:tcPr>
            <w:tcW w:w="3207" w:type="dxa"/>
            <w:shd w:val="clear" w:color="auto" w:fill="auto"/>
            <w:noWrap w:val="0"/>
            <w:vAlign w:val="center"/>
          </w:tcPr>
          <w:p w14:paraId="302AC449">
            <w:pPr>
              <w:shd w:val="clear"/>
              <w:jc w:val="center"/>
              <w:rPr>
                <w:rFonts w:hint="default" w:eastAsia="方正仿宋简体"/>
                <w:color w:val="auto"/>
                <w:sz w:val="28"/>
                <w:szCs w:val="28"/>
                <w:highlight w:val="none"/>
              </w:rPr>
            </w:pPr>
            <w:r>
              <w:rPr>
                <w:rFonts w:hint="default" w:eastAsia="方正仿宋简体"/>
                <w:color w:val="auto"/>
                <w:sz w:val="28"/>
                <w:szCs w:val="28"/>
                <w:highlight w:val="none"/>
                <w:lang w:val="en-US" w:eastAsia="zh-CN"/>
              </w:rPr>
              <w:t>1.因公出国（境）费</w:t>
            </w:r>
          </w:p>
        </w:tc>
        <w:tc>
          <w:tcPr>
            <w:tcW w:w="2270" w:type="dxa"/>
            <w:shd w:val="clear" w:color="auto" w:fill="auto"/>
            <w:noWrap w:val="0"/>
            <w:vAlign w:val="center"/>
          </w:tcPr>
          <w:p w14:paraId="5AC276C1">
            <w:pPr>
              <w:shd w:val="clear"/>
              <w:jc w:val="center"/>
              <w:rPr>
                <w:rFonts w:hint="default" w:eastAsia="方正仿宋简体"/>
                <w:color w:val="auto"/>
                <w:sz w:val="28"/>
                <w:szCs w:val="28"/>
                <w:highlight w:val="none"/>
                <w:lang w:val="en-US" w:eastAsia="zh-CN"/>
              </w:rPr>
            </w:pPr>
            <w:r>
              <w:rPr>
                <w:rFonts w:hint="eastAsia" w:eastAsia="方正仿宋简体"/>
                <w:color w:val="auto"/>
                <w:sz w:val="28"/>
                <w:szCs w:val="28"/>
                <w:highlight w:val="none"/>
                <w:lang w:val="en-US" w:eastAsia="zh-CN"/>
              </w:rPr>
              <w:t>0</w:t>
            </w:r>
          </w:p>
        </w:tc>
        <w:tc>
          <w:tcPr>
            <w:tcW w:w="1860" w:type="dxa"/>
            <w:shd w:val="clear" w:color="auto" w:fill="auto"/>
            <w:noWrap w:val="0"/>
            <w:vAlign w:val="center"/>
          </w:tcPr>
          <w:p w14:paraId="787072C3">
            <w:pPr>
              <w:shd w:val="clear"/>
              <w:jc w:val="center"/>
              <w:rPr>
                <w:rFonts w:hint="default" w:eastAsia="方正仿宋简体"/>
                <w:color w:val="auto"/>
                <w:sz w:val="28"/>
                <w:szCs w:val="28"/>
                <w:highlight w:val="none"/>
                <w:lang w:val="en-US" w:eastAsia="zh-CN"/>
              </w:rPr>
            </w:pPr>
            <w:r>
              <w:rPr>
                <w:rFonts w:hint="eastAsia" w:eastAsia="方正仿宋简体"/>
                <w:color w:val="auto"/>
                <w:sz w:val="28"/>
                <w:szCs w:val="28"/>
                <w:highlight w:val="none"/>
                <w:lang w:val="en-US" w:eastAsia="zh-CN"/>
              </w:rPr>
              <w:t>0</w:t>
            </w:r>
          </w:p>
        </w:tc>
        <w:tc>
          <w:tcPr>
            <w:tcW w:w="1840" w:type="dxa"/>
            <w:shd w:val="clear" w:color="auto" w:fill="auto"/>
            <w:noWrap w:val="0"/>
            <w:vAlign w:val="center"/>
          </w:tcPr>
          <w:p w14:paraId="4C66AB93">
            <w:pPr>
              <w:shd w:val="clear"/>
              <w:jc w:val="center"/>
              <w:rPr>
                <w:rFonts w:hint="default" w:eastAsia="方正仿宋简体"/>
                <w:color w:val="auto"/>
                <w:sz w:val="28"/>
                <w:szCs w:val="28"/>
                <w:highlight w:val="none"/>
              </w:rPr>
            </w:pPr>
            <w:r>
              <w:rPr>
                <w:rFonts w:hint="eastAsia" w:eastAsia="方正仿宋简体"/>
                <w:color w:val="auto"/>
                <w:sz w:val="28"/>
                <w:szCs w:val="28"/>
                <w:highlight w:val="none"/>
                <w:lang w:val="en-US" w:eastAsia="zh-CN"/>
              </w:rPr>
              <w:t>100</w:t>
            </w:r>
            <w:r>
              <w:rPr>
                <w:rFonts w:hint="default" w:eastAsia="方正仿宋简体"/>
                <w:color w:val="auto"/>
                <w:sz w:val="28"/>
                <w:szCs w:val="28"/>
                <w:highlight w:val="none"/>
              </w:rPr>
              <w:t>%</w:t>
            </w:r>
          </w:p>
        </w:tc>
      </w:tr>
      <w:tr w14:paraId="1125F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07" w:type="dxa"/>
            <w:shd w:val="clear" w:color="auto" w:fill="auto"/>
            <w:noWrap w:val="0"/>
            <w:vAlign w:val="center"/>
          </w:tcPr>
          <w:p w14:paraId="0EEC65B3">
            <w:pPr>
              <w:shd w:val="clear"/>
              <w:jc w:val="center"/>
              <w:rPr>
                <w:rFonts w:hint="default" w:eastAsia="方正仿宋简体"/>
                <w:color w:val="auto"/>
                <w:sz w:val="28"/>
                <w:szCs w:val="28"/>
                <w:highlight w:val="none"/>
              </w:rPr>
            </w:pPr>
            <w:r>
              <w:rPr>
                <w:rFonts w:hint="default" w:eastAsia="方正仿宋简体"/>
                <w:color w:val="auto"/>
                <w:sz w:val="28"/>
                <w:szCs w:val="28"/>
                <w:highlight w:val="none"/>
                <w:lang w:val="en-US" w:eastAsia="zh-CN"/>
              </w:rPr>
              <w:t>2.公务车运行维护费</w:t>
            </w:r>
          </w:p>
        </w:tc>
        <w:tc>
          <w:tcPr>
            <w:tcW w:w="2270" w:type="dxa"/>
            <w:shd w:val="clear" w:color="auto" w:fill="auto"/>
            <w:noWrap w:val="0"/>
            <w:vAlign w:val="center"/>
          </w:tcPr>
          <w:p w14:paraId="633A1748">
            <w:pPr>
              <w:shd w:val="clear"/>
              <w:jc w:val="center"/>
              <w:rPr>
                <w:rFonts w:hint="default" w:eastAsia="方正仿宋简体"/>
                <w:color w:val="auto"/>
                <w:sz w:val="28"/>
                <w:szCs w:val="28"/>
                <w:highlight w:val="none"/>
                <w:lang w:val="en-US" w:eastAsia="zh-CN"/>
              </w:rPr>
            </w:pPr>
            <w:r>
              <w:rPr>
                <w:rFonts w:hint="eastAsia" w:eastAsia="方正仿宋简体"/>
                <w:color w:val="auto"/>
                <w:sz w:val="28"/>
                <w:szCs w:val="28"/>
                <w:highlight w:val="none"/>
                <w:lang w:val="en-US" w:eastAsia="zh-CN"/>
              </w:rPr>
              <w:t>2.06</w:t>
            </w:r>
          </w:p>
        </w:tc>
        <w:tc>
          <w:tcPr>
            <w:tcW w:w="1860" w:type="dxa"/>
            <w:shd w:val="clear" w:color="auto" w:fill="auto"/>
            <w:noWrap w:val="0"/>
            <w:vAlign w:val="center"/>
          </w:tcPr>
          <w:p w14:paraId="204963A0">
            <w:pPr>
              <w:shd w:val="clear"/>
              <w:jc w:val="center"/>
              <w:rPr>
                <w:rFonts w:hint="default" w:eastAsia="方正仿宋简体"/>
                <w:color w:val="auto"/>
                <w:sz w:val="28"/>
                <w:szCs w:val="28"/>
                <w:highlight w:val="none"/>
                <w:lang w:val="en-US" w:eastAsia="zh-CN"/>
              </w:rPr>
            </w:pPr>
            <w:r>
              <w:rPr>
                <w:rFonts w:hint="eastAsia" w:eastAsia="方正仿宋简体"/>
                <w:color w:val="auto"/>
                <w:sz w:val="28"/>
                <w:szCs w:val="28"/>
                <w:highlight w:val="none"/>
                <w:lang w:val="en-US" w:eastAsia="zh-CN"/>
              </w:rPr>
              <w:t>2.06</w:t>
            </w:r>
          </w:p>
        </w:tc>
        <w:tc>
          <w:tcPr>
            <w:tcW w:w="1840" w:type="dxa"/>
            <w:shd w:val="clear" w:color="auto" w:fill="auto"/>
            <w:noWrap w:val="0"/>
            <w:vAlign w:val="center"/>
          </w:tcPr>
          <w:p w14:paraId="1D635459">
            <w:pPr>
              <w:shd w:val="clear"/>
              <w:jc w:val="center"/>
              <w:rPr>
                <w:rFonts w:hint="default" w:eastAsia="方正仿宋简体"/>
                <w:color w:val="auto"/>
                <w:sz w:val="28"/>
                <w:szCs w:val="28"/>
                <w:highlight w:val="none"/>
              </w:rPr>
            </w:pPr>
            <w:r>
              <w:rPr>
                <w:rFonts w:hint="default" w:eastAsia="方正仿宋简体"/>
                <w:color w:val="auto"/>
                <w:sz w:val="28"/>
                <w:szCs w:val="28"/>
                <w:highlight w:val="none"/>
                <w:lang w:val="en-US" w:eastAsia="zh-CN"/>
              </w:rPr>
              <w:t>100</w:t>
            </w:r>
            <w:r>
              <w:rPr>
                <w:rFonts w:hint="default" w:eastAsia="方正仿宋简体"/>
                <w:color w:val="auto"/>
                <w:sz w:val="28"/>
                <w:szCs w:val="28"/>
                <w:highlight w:val="none"/>
              </w:rPr>
              <w:t>%</w:t>
            </w:r>
          </w:p>
        </w:tc>
      </w:tr>
      <w:tr w14:paraId="41947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00"/>
          <w:tblCellMar>
            <w:top w:w="0" w:type="dxa"/>
            <w:left w:w="108" w:type="dxa"/>
            <w:bottom w:w="0" w:type="dxa"/>
            <w:right w:w="108" w:type="dxa"/>
          </w:tblCellMar>
        </w:tblPrEx>
        <w:trPr>
          <w:jc w:val="center"/>
        </w:trPr>
        <w:tc>
          <w:tcPr>
            <w:tcW w:w="3207" w:type="dxa"/>
            <w:shd w:val="clear" w:color="auto" w:fill="auto"/>
            <w:noWrap w:val="0"/>
            <w:vAlign w:val="center"/>
          </w:tcPr>
          <w:p w14:paraId="4CAF314F">
            <w:pPr>
              <w:shd w:val="clear"/>
              <w:jc w:val="center"/>
              <w:rPr>
                <w:rFonts w:hint="default" w:eastAsia="方正仿宋简体"/>
                <w:color w:val="auto"/>
                <w:sz w:val="28"/>
                <w:szCs w:val="28"/>
                <w:highlight w:val="none"/>
              </w:rPr>
            </w:pPr>
            <w:r>
              <w:rPr>
                <w:rFonts w:hint="default" w:eastAsia="方正仿宋简体"/>
                <w:color w:val="auto"/>
                <w:sz w:val="28"/>
                <w:szCs w:val="28"/>
                <w:highlight w:val="none"/>
                <w:lang w:val="en-US" w:eastAsia="zh-CN"/>
              </w:rPr>
              <w:t>3.公务接待费</w:t>
            </w:r>
          </w:p>
        </w:tc>
        <w:tc>
          <w:tcPr>
            <w:tcW w:w="2270" w:type="dxa"/>
            <w:shd w:val="clear" w:color="auto" w:fill="auto"/>
            <w:noWrap w:val="0"/>
            <w:vAlign w:val="center"/>
          </w:tcPr>
          <w:p w14:paraId="58DC15B3">
            <w:pPr>
              <w:shd w:val="clear"/>
              <w:jc w:val="center"/>
              <w:rPr>
                <w:rFonts w:hint="default" w:eastAsia="方正仿宋简体"/>
                <w:color w:val="auto"/>
                <w:sz w:val="28"/>
                <w:szCs w:val="28"/>
                <w:highlight w:val="none"/>
                <w:lang w:val="en-US" w:eastAsia="zh-CN"/>
              </w:rPr>
            </w:pPr>
            <w:r>
              <w:rPr>
                <w:rFonts w:hint="eastAsia" w:eastAsia="方正仿宋简体"/>
                <w:color w:val="auto"/>
                <w:sz w:val="28"/>
                <w:szCs w:val="28"/>
                <w:highlight w:val="none"/>
                <w:lang w:val="en-US" w:eastAsia="zh-CN"/>
              </w:rPr>
              <w:t>0</w:t>
            </w:r>
          </w:p>
        </w:tc>
        <w:tc>
          <w:tcPr>
            <w:tcW w:w="1860" w:type="dxa"/>
            <w:shd w:val="clear" w:color="auto" w:fill="auto"/>
            <w:noWrap w:val="0"/>
            <w:vAlign w:val="center"/>
          </w:tcPr>
          <w:p w14:paraId="7351606A">
            <w:pPr>
              <w:shd w:val="clear"/>
              <w:jc w:val="center"/>
              <w:rPr>
                <w:rFonts w:hint="default" w:eastAsia="方正仿宋简体"/>
                <w:color w:val="auto"/>
                <w:sz w:val="28"/>
                <w:szCs w:val="28"/>
                <w:highlight w:val="none"/>
                <w:lang w:val="en-US" w:eastAsia="zh-CN"/>
              </w:rPr>
            </w:pPr>
            <w:r>
              <w:rPr>
                <w:rFonts w:hint="eastAsia" w:eastAsia="方正仿宋简体"/>
                <w:color w:val="auto"/>
                <w:sz w:val="28"/>
                <w:szCs w:val="28"/>
                <w:highlight w:val="none"/>
                <w:lang w:val="en-US" w:eastAsia="zh-CN"/>
              </w:rPr>
              <w:t>0</w:t>
            </w:r>
          </w:p>
        </w:tc>
        <w:tc>
          <w:tcPr>
            <w:tcW w:w="1840" w:type="dxa"/>
            <w:shd w:val="clear" w:color="auto" w:fill="auto"/>
            <w:noWrap w:val="0"/>
            <w:vAlign w:val="center"/>
          </w:tcPr>
          <w:p w14:paraId="14F21F24">
            <w:pPr>
              <w:shd w:val="clear"/>
              <w:jc w:val="center"/>
              <w:rPr>
                <w:rFonts w:hint="default" w:eastAsia="方正仿宋简体"/>
                <w:color w:val="auto"/>
                <w:sz w:val="28"/>
                <w:szCs w:val="28"/>
                <w:highlight w:val="none"/>
              </w:rPr>
            </w:pPr>
            <w:r>
              <w:rPr>
                <w:rFonts w:hint="eastAsia" w:eastAsia="方正仿宋简体"/>
                <w:color w:val="auto"/>
                <w:sz w:val="28"/>
                <w:szCs w:val="28"/>
                <w:highlight w:val="none"/>
                <w:lang w:val="en-US" w:eastAsia="zh-CN"/>
              </w:rPr>
              <w:t>100</w:t>
            </w:r>
            <w:r>
              <w:rPr>
                <w:rFonts w:hint="default" w:eastAsia="方正仿宋简体"/>
                <w:color w:val="auto"/>
                <w:sz w:val="28"/>
                <w:szCs w:val="28"/>
                <w:highlight w:val="none"/>
              </w:rPr>
              <w:t>%</w:t>
            </w:r>
          </w:p>
        </w:tc>
      </w:tr>
      <w:tr w14:paraId="039DE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07" w:type="dxa"/>
            <w:shd w:val="clear" w:color="auto" w:fill="auto"/>
            <w:noWrap w:val="0"/>
            <w:vAlign w:val="center"/>
          </w:tcPr>
          <w:p w14:paraId="58F0406D">
            <w:pPr>
              <w:shd w:val="clear"/>
              <w:jc w:val="center"/>
              <w:rPr>
                <w:rFonts w:hint="default" w:eastAsia="方正仿宋简体"/>
                <w:color w:val="auto"/>
                <w:sz w:val="28"/>
                <w:szCs w:val="28"/>
                <w:highlight w:val="none"/>
                <w:lang w:val="en-US" w:eastAsia="zh-CN"/>
              </w:rPr>
            </w:pPr>
            <w:r>
              <w:rPr>
                <w:rFonts w:hint="default" w:eastAsia="方正仿宋简体"/>
                <w:color w:val="auto"/>
                <w:sz w:val="28"/>
                <w:szCs w:val="28"/>
                <w:highlight w:val="none"/>
                <w:lang w:val="en-US" w:eastAsia="zh-CN"/>
              </w:rPr>
              <w:t>合计</w:t>
            </w:r>
          </w:p>
        </w:tc>
        <w:tc>
          <w:tcPr>
            <w:tcW w:w="2270" w:type="dxa"/>
            <w:shd w:val="clear" w:color="auto" w:fill="auto"/>
            <w:noWrap w:val="0"/>
            <w:vAlign w:val="center"/>
          </w:tcPr>
          <w:p w14:paraId="71B6DD5A">
            <w:pPr>
              <w:shd w:val="clear"/>
              <w:jc w:val="center"/>
              <w:rPr>
                <w:rFonts w:hint="default" w:eastAsia="方正仿宋简体"/>
                <w:color w:val="auto"/>
                <w:sz w:val="28"/>
                <w:szCs w:val="28"/>
                <w:highlight w:val="none"/>
                <w:lang w:val="en-US" w:eastAsia="zh-CN"/>
              </w:rPr>
            </w:pPr>
            <w:r>
              <w:rPr>
                <w:rFonts w:hint="eastAsia" w:eastAsia="方正仿宋简体"/>
                <w:color w:val="auto"/>
                <w:sz w:val="28"/>
                <w:szCs w:val="28"/>
                <w:highlight w:val="none"/>
                <w:lang w:val="en-US" w:eastAsia="zh-CN"/>
              </w:rPr>
              <w:t>2.06</w:t>
            </w:r>
          </w:p>
        </w:tc>
        <w:tc>
          <w:tcPr>
            <w:tcW w:w="1860" w:type="dxa"/>
            <w:shd w:val="clear" w:color="auto" w:fill="auto"/>
            <w:noWrap w:val="0"/>
            <w:vAlign w:val="center"/>
          </w:tcPr>
          <w:p w14:paraId="5DA2BA3A">
            <w:pPr>
              <w:shd w:val="clear"/>
              <w:jc w:val="center"/>
              <w:rPr>
                <w:rFonts w:hint="default" w:eastAsia="方正仿宋简体"/>
                <w:color w:val="auto"/>
                <w:sz w:val="28"/>
                <w:szCs w:val="28"/>
                <w:highlight w:val="none"/>
                <w:lang w:val="en-US" w:eastAsia="zh-CN"/>
              </w:rPr>
            </w:pPr>
            <w:r>
              <w:rPr>
                <w:rFonts w:hint="eastAsia" w:eastAsia="方正仿宋简体"/>
                <w:color w:val="auto"/>
                <w:sz w:val="28"/>
                <w:szCs w:val="28"/>
                <w:highlight w:val="none"/>
                <w:lang w:val="en-US" w:eastAsia="zh-CN"/>
              </w:rPr>
              <w:t>2.06</w:t>
            </w:r>
          </w:p>
        </w:tc>
        <w:tc>
          <w:tcPr>
            <w:tcW w:w="1840" w:type="dxa"/>
            <w:shd w:val="clear" w:color="auto" w:fill="auto"/>
            <w:noWrap w:val="0"/>
            <w:vAlign w:val="center"/>
          </w:tcPr>
          <w:p w14:paraId="6B0DB1BA">
            <w:pPr>
              <w:shd w:val="clear"/>
              <w:jc w:val="center"/>
              <w:rPr>
                <w:rFonts w:hint="default" w:eastAsia="方正仿宋简体"/>
                <w:color w:val="auto"/>
                <w:sz w:val="28"/>
                <w:szCs w:val="28"/>
                <w:highlight w:val="none"/>
                <w:lang w:val="en-US" w:eastAsia="zh-CN"/>
              </w:rPr>
            </w:pPr>
            <w:r>
              <w:rPr>
                <w:rFonts w:hint="default" w:eastAsia="方正仿宋简体"/>
                <w:color w:val="auto"/>
                <w:sz w:val="28"/>
                <w:szCs w:val="28"/>
                <w:highlight w:val="none"/>
                <w:lang w:val="en-US" w:eastAsia="zh-CN"/>
              </w:rPr>
              <w:t>100%</w:t>
            </w:r>
          </w:p>
        </w:tc>
      </w:tr>
    </w:tbl>
    <w:p w14:paraId="285576BD">
      <w:pPr>
        <w:adjustRightInd w:val="0"/>
        <w:snapToGrid w:val="0"/>
        <w:spacing w:line="560" w:lineRule="exact"/>
        <w:ind w:firstLine="640" w:firstLineChars="200"/>
        <w:outlineLvl w:val="1"/>
        <w:rPr>
          <w:rFonts w:hint="eastAsia" w:ascii="方正仿宋简体" w:hAnsi="方正仿宋简体" w:eastAsia="方正仿宋简体" w:cs="方正仿宋简体"/>
          <w:color w:val="auto"/>
          <w:sz w:val="32"/>
          <w:szCs w:val="32"/>
        </w:rPr>
      </w:pPr>
      <w:r>
        <w:rPr>
          <w:rFonts w:hint="eastAsia" w:ascii="楷体" w:hAnsi="楷体" w:eastAsia="楷体" w:cs="楷体"/>
          <w:color w:val="auto"/>
          <w:sz w:val="32"/>
          <w:szCs w:val="32"/>
        </w:rPr>
        <w:t>（三）部门（单位）绩效目标</w:t>
      </w:r>
      <w:bookmarkEnd w:id="4"/>
      <w:bookmarkEnd w:id="5"/>
    </w:p>
    <w:p w14:paraId="584C4628">
      <w:pPr>
        <w:pStyle w:val="24"/>
        <w:spacing w:after="0"/>
        <w:ind w:firstLine="641"/>
        <w:jc w:val="both"/>
        <w:rPr>
          <w:rFonts w:hint="eastAsia" w:ascii="方正仿宋简体" w:hAnsi="方正仿宋简体" w:eastAsia="方正仿宋简体" w:cs="方正仿宋简体"/>
          <w:color w:val="auto"/>
          <w:kern w:val="2"/>
          <w:szCs w:val="32"/>
          <w:lang w:val="en-US" w:eastAsia="zh-CN" w:bidi="ar-SA"/>
        </w:rPr>
      </w:pPr>
      <w:bookmarkStart w:id="6" w:name="_Toc149663086"/>
      <w:bookmarkStart w:id="7" w:name="_Toc148718624"/>
      <w:bookmarkStart w:id="8" w:name="_Toc149553829"/>
      <w:bookmarkStart w:id="9" w:name="_Toc178059779"/>
      <w:r>
        <w:rPr>
          <w:rFonts w:eastAsia="方正仿宋简体"/>
          <w:b/>
          <w:bCs/>
          <w:color w:val="auto"/>
          <w:szCs w:val="32"/>
          <w:lang w:eastAsia="zh-CN"/>
        </w:rPr>
        <w:t>1．</w:t>
      </w:r>
      <w:r>
        <w:rPr>
          <w:rFonts w:eastAsia="方正仿宋简体"/>
          <w:b/>
          <w:bCs/>
          <w:color w:val="auto"/>
          <w:kern w:val="2"/>
          <w:szCs w:val="32"/>
          <w:lang w:val="en-US" w:eastAsia="zh-CN" w:bidi="ar-SA"/>
        </w:rPr>
        <w:t>中长期目标</w:t>
      </w:r>
    </w:p>
    <w:bookmarkEnd w:id="6"/>
    <w:bookmarkEnd w:id="7"/>
    <w:bookmarkEnd w:id="8"/>
    <w:p w14:paraId="0D05AB98">
      <w:pPr>
        <w:pStyle w:val="24"/>
        <w:spacing w:after="0"/>
        <w:ind w:firstLine="640"/>
        <w:jc w:val="both"/>
        <w:rPr>
          <w:rFonts w:hint="eastAsia" w:ascii="方正仿宋简体" w:hAnsi="方正仿宋简体" w:eastAsia="方正仿宋简体" w:cs="方正仿宋简体"/>
          <w:color w:val="auto"/>
          <w:kern w:val="2"/>
          <w:szCs w:val="32"/>
          <w:lang w:val="en-US" w:eastAsia="zh-CN" w:bidi="ar-SA"/>
        </w:rPr>
      </w:pPr>
      <w:bookmarkStart w:id="10" w:name="_Toc149553831"/>
      <w:bookmarkStart w:id="11" w:name="_Toc148718626"/>
      <w:bookmarkStart w:id="12" w:name="_Toc149663088"/>
      <w:r>
        <w:rPr>
          <w:rFonts w:hint="eastAsia" w:ascii="方正仿宋简体" w:hAnsi="方正仿宋简体" w:eastAsia="方正仿宋简体" w:cs="方正仿宋简体"/>
          <w:color w:val="auto"/>
          <w:kern w:val="2"/>
          <w:szCs w:val="32"/>
          <w:lang w:val="en-US" w:eastAsia="zh-CN" w:bidi="ar-SA"/>
        </w:rPr>
        <w:t>市妇儿中心始终以习近平新时代中国特色社会主义思想为指引，坚持思想政治引领、突出公益属性，面向全市妇女儿童和家庭提供优质服务、开展素质教育。以公益为先，服务为本，服务广大妇女儿童和家庭作为中心的基本功能定位，始终以“关爱儿童、助力女性、服务家庭”为己任。</w:t>
      </w:r>
    </w:p>
    <w:p w14:paraId="5D9DB39B">
      <w:pPr>
        <w:pStyle w:val="24"/>
        <w:numPr>
          <w:ilvl w:val="0"/>
          <w:numId w:val="1"/>
        </w:numPr>
        <w:spacing w:after="0"/>
        <w:ind w:firstLine="640"/>
        <w:jc w:val="both"/>
        <w:rPr>
          <w:rFonts w:hint="eastAsia" w:ascii="方正仿宋简体" w:hAnsi="方正仿宋简体" w:eastAsia="方正仿宋简体" w:cs="方正仿宋简体"/>
          <w:color w:val="auto"/>
          <w:kern w:val="2"/>
          <w:szCs w:val="32"/>
          <w:lang w:val="en-US" w:eastAsia="zh-CN" w:bidi="ar-SA"/>
        </w:rPr>
      </w:pPr>
      <w:r>
        <w:rPr>
          <w:rFonts w:hint="eastAsia" w:ascii="方正仿宋简体" w:hAnsi="方正仿宋简体" w:eastAsia="方正仿宋简体" w:cs="方正仿宋简体"/>
          <w:color w:val="auto"/>
          <w:kern w:val="2"/>
          <w:szCs w:val="32"/>
          <w:lang w:val="en-US" w:eastAsia="zh-CN" w:bidi="ar-SA"/>
        </w:rPr>
        <w:t>开展“立德树人”的儿童素质教育服务。坚持“立德树人”导向，建设校外教育活动基地，搭建社会公益服务平台，形成公益活动品牌体系。</w:t>
      </w:r>
    </w:p>
    <w:p w14:paraId="79FE4291">
      <w:pPr>
        <w:pStyle w:val="24"/>
        <w:spacing w:after="0"/>
        <w:ind w:firstLine="640"/>
        <w:jc w:val="both"/>
        <w:rPr>
          <w:rFonts w:hint="eastAsia" w:ascii="方正仿宋简体" w:hAnsi="方正仿宋简体" w:eastAsia="方正仿宋简体" w:cs="方正仿宋简体"/>
          <w:color w:val="auto"/>
          <w:kern w:val="2"/>
          <w:szCs w:val="32"/>
          <w:lang w:val="en-US" w:eastAsia="zh-CN" w:bidi="ar-SA"/>
        </w:rPr>
      </w:pPr>
      <w:r>
        <w:rPr>
          <w:rFonts w:eastAsia="方正仿宋简体"/>
          <w:color w:val="auto"/>
          <w:kern w:val="2"/>
          <w:szCs w:val="32"/>
          <w:lang w:val="en-US" w:eastAsia="zh-CN" w:bidi="ar-SA"/>
        </w:rPr>
        <w:t>（2）提</w:t>
      </w:r>
      <w:r>
        <w:rPr>
          <w:rFonts w:hint="eastAsia" w:ascii="方正仿宋简体" w:hAnsi="方正仿宋简体" w:eastAsia="方正仿宋简体" w:cs="方正仿宋简体"/>
          <w:color w:val="auto"/>
          <w:kern w:val="2"/>
          <w:szCs w:val="32"/>
          <w:lang w:val="en-US" w:eastAsia="zh-CN" w:bidi="ar-SA"/>
        </w:rPr>
        <w:t>供“终身学习”的女性素养提升服务。关注、关心、关爱女性发展是市妇儿中心服务社会的主要任务。立足女性素养提升、职业发展、身心健康、婚姻美满、家庭幸福等方面，提供“终身学习”的女性素质提升服务与指导。</w:t>
      </w:r>
    </w:p>
    <w:p w14:paraId="1B4D2699">
      <w:pPr>
        <w:pStyle w:val="24"/>
        <w:spacing w:after="0"/>
        <w:ind w:firstLine="640"/>
        <w:jc w:val="both"/>
        <w:rPr>
          <w:rFonts w:hint="eastAsia" w:ascii="方正仿宋简体" w:hAnsi="方正仿宋简体" w:eastAsia="方正仿宋简体" w:cs="方正仿宋简体"/>
          <w:color w:val="auto"/>
          <w:kern w:val="2"/>
          <w:szCs w:val="32"/>
          <w:lang w:val="en-US" w:eastAsia="zh-CN" w:bidi="ar-SA"/>
        </w:rPr>
      </w:pPr>
      <w:r>
        <w:rPr>
          <w:rFonts w:eastAsia="方正仿宋简体"/>
          <w:color w:val="auto"/>
          <w:kern w:val="2"/>
          <w:szCs w:val="32"/>
          <w:lang w:val="en-US" w:eastAsia="zh-CN" w:bidi="ar-SA"/>
        </w:rPr>
        <w:t>（3）</w:t>
      </w:r>
      <w:r>
        <w:rPr>
          <w:rFonts w:hint="eastAsia" w:ascii="方正仿宋简体" w:hAnsi="方正仿宋简体" w:eastAsia="方正仿宋简体" w:cs="方正仿宋简体"/>
          <w:color w:val="auto"/>
          <w:kern w:val="2"/>
          <w:szCs w:val="32"/>
          <w:lang w:val="en-US" w:eastAsia="zh-CN" w:bidi="ar-SA"/>
        </w:rPr>
        <w:t>探索“协同共育”的家庭教育指导服务。积极探索开展家庭教育支持服务以及家、校、社协同共育的有效模式，开展家庭教育指导、家庭情感指导、居家生活指导等服务，促进家庭成员之间、邻里之间、家庭与社会之间的和谐互助，打造“研发型”“创新性”家庭教育团队，为健全家、校、社协同育人机制贡献力量。</w:t>
      </w:r>
    </w:p>
    <w:p w14:paraId="7D4C93A5">
      <w:pPr>
        <w:pStyle w:val="24"/>
        <w:spacing w:after="0"/>
        <w:ind w:firstLine="641"/>
        <w:jc w:val="both"/>
        <w:rPr>
          <w:rFonts w:eastAsia="方正仿宋简体"/>
          <w:b/>
          <w:bCs/>
          <w:color w:val="auto"/>
          <w:kern w:val="2"/>
          <w:szCs w:val="32"/>
          <w:lang w:val="en-US" w:eastAsia="zh-CN" w:bidi="ar-SA"/>
        </w:rPr>
      </w:pPr>
      <w:r>
        <w:rPr>
          <w:rFonts w:eastAsia="方正仿宋简体"/>
          <w:b/>
          <w:bCs/>
          <w:color w:val="auto"/>
          <w:szCs w:val="32"/>
          <w:lang w:val="en-US" w:eastAsia="zh-CN"/>
        </w:rPr>
        <w:t>2</w:t>
      </w:r>
      <w:r>
        <w:rPr>
          <w:rFonts w:eastAsia="方正仿宋简体"/>
          <w:b/>
          <w:bCs/>
          <w:color w:val="auto"/>
          <w:szCs w:val="32"/>
          <w:lang w:eastAsia="zh-CN"/>
        </w:rPr>
        <w:t>．</w:t>
      </w:r>
      <w:r>
        <w:rPr>
          <w:rFonts w:eastAsia="方正仿宋简体"/>
          <w:b/>
          <w:bCs/>
          <w:color w:val="auto"/>
          <w:kern w:val="2"/>
          <w:szCs w:val="32"/>
          <w:lang w:val="en-US" w:eastAsia="zh-CN" w:bidi="ar-SA"/>
        </w:rPr>
        <w:t>年度绩效目标</w:t>
      </w:r>
      <w:bookmarkEnd w:id="10"/>
      <w:bookmarkEnd w:id="11"/>
      <w:bookmarkEnd w:id="12"/>
    </w:p>
    <w:p w14:paraId="48F5BFA6">
      <w:pPr>
        <w:adjustRightInd w:val="0"/>
        <w:snapToGrid w:val="0"/>
        <w:spacing w:line="560" w:lineRule="exact"/>
        <w:ind w:firstLine="640" w:firstLineChars="200"/>
        <w:rPr>
          <w:rFonts w:hint="eastAsia" w:ascii="方正仿宋简体" w:hAnsi="方正仿宋简体" w:eastAsia="方正仿宋简体" w:cs="方正仿宋简体"/>
          <w:color w:val="auto"/>
          <w:sz w:val="32"/>
          <w:szCs w:val="32"/>
        </w:rPr>
      </w:pPr>
      <w:r>
        <w:rPr>
          <w:rFonts w:hint="eastAsia" w:ascii="方正仿宋简体" w:hAnsi="方正仿宋简体" w:eastAsia="方正仿宋简体" w:cs="方正仿宋简体"/>
          <w:color w:val="auto"/>
          <w:sz w:val="32"/>
          <w:szCs w:val="32"/>
          <w:highlight w:val="none"/>
        </w:rPr>
        <w:t>南京市妇女儿童活动中心将继续在市妇联的领导下坚持思想政治引领、突出公益属性，履职尽责，</w:t>
      </w:r>
      <w:r>
        <w:rPr>
          <w:rFonts w:hint="default" w:ascii="方正仿宋简体" w:hAnsi="方正仿宋简体" w:eastAsia="方正仿宋简体" w:cs="方正仿宋简体"/>
          <w:color w:val="auto"/>
          <w:sz w:val="32"/>
          <w:szCs w:val="32"/>
          <w:highlight w:val="none"/>
          <w:lang w:val="en-US" w:eastAsia="zh-CN"/>
        </w:rPr>
        <w:t>年度目标</w:t>
      </w:r>
      <w:r>
        <w:rPr>
          <w:rFonts w:hint="eastAsia" w:ascii="方正仿宋简体" w:hAnsi="方正仿宋简体" w:eastAsia="方正仿宋简体" w:cs="方正仿宋简体"/>
          <w:color w:val="auto"/>
          <w:sz w:val="32"/>
          <w:szCs w:val="32"/>
          <w:highlight w:val="none"/>
          <w:lang w:val="en-US" w:eastAsia="zh-CN"/>
        </w:rPr>
        <w:t>主要有三个方面，一是</w:t>
      </w:r>
      <w:r>
        <w:rPr>
          <w:rFonts w:hint="eastAsia" w:ascii="方正仿宋简体" w:hAnsi="方正仿宋简体" w:eastAsia="方正仿宋简体" w:cs="方正仿宋简体"/>
          <w:color w:val="auto"/>
          <w:sz w:val="32"/>
          <w:szCs w:val="32"/>
          <w:highlight w:val="none"/>
        </w:rPr>
        <w:t>落实“立德树人”根本任务，继续聚焦核心素养，完善教育培训课程体系</w:t>
      </w:r>
      <w:r>
        <w:rPr>
          <w:rFonts w:hint="eastAsia" w:ascii="方正仿宋简体" w:hAnsi="方正仿宋简体" w:eastAsia="方正仿宋简体" w:cs="方正仿宋简体"/>
          <w:color w:val="auto"/>
          <w:sz w:val="32"/>
          <w:szCs w:val="32"/>
          <w:highlight w:val="none"/>
          <w:lang w:eastAsia="zh-CN"/>
        </w:rPr>
        <w:t>，</w:t>
      </w:r>
      <w:r>
        <w:rPr>
          <w:rFonts w:hint="eastAsia" w:ascii="方正仿宋简体" w:hAnsi="方正仿宋简体" w:eastAsia="方正仿宋简体" w:cs="方正仿宋简体"/>
          <w:color w:val="auto"/>
          <w:sz w:val="32"/>
          <w:szCs w:val="32"/>
          <w:highlight w:val="none"/>
        </w:rPr>
        <w:t>提供儿童素质教育服务</w:t>
      </w:r>
      <w:r>
        <w:rPr>
          <w:rFonts w:hint="eastAsia" w:ascii="方正仿宋简体" w:hAnsi="方正仿宋简体" w:eastAsia="方正仿宋简体" w:cs="方正仿宋简体"/>
          <w:color w:val="auto"/>
          <w:sz w:val="32"/>
          <w:szCs w:val="32"/>
          <w:highlight w:val="none"/>
          <w:lang w:eastAsia="zh-CN"/>
        </w:rPr>
        <w:t>；</w:t>
      </w:r>
      <w:r>
        <w:rPr>
          <w:rFonts w:hint="eastAsia" w:ascii="方正仿宋简体" w:hAnsi="方正仿宋简体" w:eastAsia="方正仿宋简体" w:cs="方正仿宋简体"/>
          <w:color w:val="auto"/>
          <w:sz w:val="32"/>
          <w:szCs w:val="32"/>
          <w:highlight w:val="none"/>
          <w:lang w:val="en-US" w:eastAsia="zh-CN"/>
        </w:rPr>
        <w:t>二是</w:t>
      </w:r>
      <w:r>
        <w:rPr>
          <w:rFonts w:hint="eastAsia" w:ascii="方正仿宋简体" w:hAnsi="方正仿宋简体" w:eastAsia="方正仿宋简体" w:cs="方正仿宋简体"/>
          <w:color w:val="auto"/>
          <w:sz w:val="32"/>
          <w:szCs w:val="32"/>
          <w:highlight w:val="none"/>
        </w:rPr>
        <w:t>不断扩大公益服务范围，树立“终身学习”生活理念，提供全年龄段素养提升服务；</w:t>
      </w:r>
      <w:r>
        <w:rPr>
          <w:rFonts w:hint="eastAsia" w:ascii="方正仿宋简体" w:hAnsi="方正仿宋简体" w:eastAsia="方正仿宋简体" w:cs="方正仿宋简体"/>
          <w:color w:val="auto"/>
          <w:sz w:val="32"/>
          <w:szCs w:val="32"/>
          <w:highlight w:val="none"/>
          <w:lang w:val="en-US" w:eastAsia="zh-CN"/>
        </w:rPr>
        <w:t>三是</w:t>
      </w:r>
      <w:r>
        <w:rPr>
          <w:rFonts w:hint="eastAsia" w:ascii="方正仿宋简体" w:hAnsi="方正仿宋简体" w:eastAsia="方正仿宋简体" w:cs="方正仿宋简体"/>
          <w:color w:val="auto"/>
          <w:sz w:val="32"/>
          <w:szCs w:val="32"/>
          <w:highlight w:val="none"/>
        </w:rPr>
        <w:t>持续打造各类品牌展演赛活动，加强综合性公益社团建设</w:t>
      </w:r>
      <w:r>
        <w:rPr>
          <w:rFonts w:hint="eastAsia" w:ascii="方正仿宋简体" w:hAnsi="方正仿宋简体" w:eastAsia="方正仿宋简体" w:cs="方正仿宋简体"/>
          <w:color w:val="auto"/>
          <w:sz w:val="32"/>
          <w:szCs w:val="32"/>
          <w:highlight w:val="none"/>
          <w:lang w:val="en-US" w:eastAsia="zh-CN"/>
        </w:rPr>
        <w:t>等方面多元化的服务。</w:t>
      </w:r>
      <w:r>
        <w:rPr>
          <w:rFonts w:hint="eastAsia" w:ascii="方正仿宋简体" w:hAnsi="方正仿宋简体" w:eastAsia="方正仿宋简体" w:cs="方正仿宋简体"/>
          <w:color w:val="auto"/>
          <w:sz w:val="32"/>
          <w:szCs w:val="32"/>
        </w:rPr>
        <w:t>详见表3。</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3"/>
        <w:gridCol w:w="2809"/>
        <w:gridCol w:w="5292"/>
      </w:tblGrid>
      <w:tr w14:paraId="30507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3" w:type="dxa"/>
            <w:noWrap w:val="0"/>
            <w:vAlign w:val="top"/>
          </w:tcPr>
          <w:p w14:paraId="7F468194">
            <w:pPr>
              <w:spacing w:line="600" w:lineRule="exact"/>
              <w:jc w:val="center"/>
              <w:rPr>
                <w:rFonts w:hint="eastAsia" w:ascii="方正仿宋简体" w:hAnsi="方正仿宋简体" w:eastAsia="方正仿宋简体" w:cs="方正仿宋简体"/>
                <w:color w:val="auto"/>
                <w:sz w:val="28"/>
                <w:szCs w:val="28"/>
              </w:rPr>
            </w:pPr>
            <w:r>
              <w:rPr>
                <w:rFonts w:hint="eastAsia" w:ascii="方正仿宋简体" w:hAnsi="方正仿宋简体" w:eastAsia="方正仿宋简体" w:cs="方正仿宋简体"/>
                <w:color w:val="auto"/>
                <w:sz w:val="28"/>
                <w:szCs w:val="28"/>
              </w:rPr>
              <w:t>序号</w:t>
            </w:r>
          </w:p>
        </w:tc>
        <w:tc>
          <w:tcPr>
            <w:tcW w:w="2809" w:type="dxa"/>
            <w:noWrap w:val="0"/>
            <w:vAlign w:val="top"/>
          </w:tcPr>
          <w:p w14:paraId="25A4D31B">
            <w:pPr>
              <w:spacing w:line="600" w:lineRule="exact"/>
              <w:jc w:val="center"/>
              <w:rPr>
                <w:rFonts w:hint="eastAsia" w:ascii="方正仿宋简体" w:hAnsi="方正仿宋简体" w:eastAsia="方正仿宋简体" w:cs="方正仿宋简体"/>
                <w:color w:val="auto"/>
                <w:sz w:val="28"/>
                <w:szCs w:val="28"/>
              </w:rPr>
            </w:pPr>
            <w:r>
              <w:rPr>
                <w:rFonts w:hint="eastAsia" w:ascii="方正仿宋简体" w:hAnsi="方正仿宋简体" w:eastAsia="方正仿宋简体" w:cs="方正仿宋简体"/>
                <w:color w:val="auto"/>
                <w:sz w:val="28"/>
                <w:szCs w:val="28"/>
              </w:rPr>
              <w:t>绩效目标</w:t>
            </w:r>
          </w:p>
        </w:tc>
        <w:tc>
          <w:tcPr>
            <w:tcW w:w="5292" w:type="dxa"/>
            <w:noWrap w:val="0"/>
            <w:vAlign w:val="top"/>
          </w:tcPr>
          <w:p w14:paraId="155DF06D">
            <w:pPr>
              <w:spacing w:line="600" w:lineRule="exact"/>
              <w:jc w:val="center"/>
              <w:rPr>
                <w:rFonts w:hint="eastAsia" w:ascii="方正仿宋简体" w:hAnsi="方正仿宋简体" w:eastAsia="方正仿宋简体" w:cs="方正仿宋简体"/>
                <w:color w:val="auto"/>
                <w:sz w:val="28"/>
                <w:szCs w:val="28"/>
              </w:rPr>
            </w:pPr>
            <w:r>
              <w:rPr>
                <w:rFonts w:hint="eastAsia" w:ascii="方正仿宋简体" w:hAnsi="方正仿宋简体" w:eastAsia="方正仿宋简体" w:cs="方正仿宋简体"/>
                <w:color w:val="auto"/>
                <w:sz w:val="28"/>
                <w:szCs w:val="28"/>
              </w:rPr>
              <w:t>目标具体内容</w:t>
            </w:r>
          </w:p>
        </w:tc>
      </w:tr>
      <w:tr w14:paraId="3261B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03" w:type="dxa"/>
            <w:noWrap w:val="0"/>
            <w:vAlign w:val="top"/>
          </w:tcPr>
          <w:p w14:paraId="19B2B6A1">
            <w:pPr>
              <w:spacing w:line="600" w:lineRule="exact"/>
              <w:ind w:firstLine="240" w:firstLineChars="100"/>
              <w:rPr>
                <w:rFonts w:eastAsia="方正仿宋简体"/>
                <w:color w:val="auto"/>
                <w:sz w:val="24"/>
                <w:szCs w:val="24"/>
              </w:rPr>
            </w:pPr>
            <w:r>
              <w:rPr>
                <w:rFonts w:eastAsia="方正仿宋简体"/>
                <w:color w:val="auto"/>
                <w:sz w:val="24"/>
                <w:szCs w:val="24"/>
              </w:rPr>
              <w:t>1</w:t>
            </w:r>
          </w:p>
        </w:tc>
        <w:tc>
          <w:tcPr>
            <w:tcW w:w="2809" w:type="dxa"/>
            <w:noWrap w:val="0"/>
            <w:vAlign w:val="top"/>
          </w:tcPr>
          <w:p w14:paraId="640ECCC5">
            <w:pPr>
              <w:rPr>
                <w:rFonts w:eastAsia="方正仿宋简体"/>
                <w:color w:val="auto"/>
                <w:sz w:val="28"/>
                <w:szCs w:val="28"/>
              </w:rPr>
            </w:pPr>
            <w:r>
              <w:rPr>
                <w:rFonts w:hint="eastAsia" w:eastAsia="方正仿宋简体"/>
                <w:color w:val="auto"/>
                <w:sz w:val="28"/>
                <w:szCs w:val="28"/>
              </w:rPr>
              <w:t>落实“立德树人”根本任务，继续聚焦核心素养，完善教育培训课程体系，以高品质教学成果为导向，提供儿童素质教育服务。</w:t>
            </w:r>
          </w:p>
        </w:tc>
        <w:tc>
          <w:tcPr>
            <w:tcW w:w="5292" w:type="dxa"/>
            <w:noWrap w:val="0"/>
            <w:vAlign w:val="top"/>
          </w:tcPr>
          <w:p w14:paraId="36ECD00C">
            <w:pPr>
              <w:rPr>
                <w:rFonts w:hint="default" w:ascii="方正仿宋简体" w:hAnsi="方正仿宋简体" w:eastAsia="方正仿宋简体" w:cs="方正仿宋简体"/>
                <w:color w:val="auto"/>
                <w:kern w:val="0"/>
                <w:sz w:val="28"/>
                <w:szCs w:val="28"/>
                <w:lang w:val="en-US" w:eastAsia="zh-CN"/>
              </w:rPr>
            </w:pPr>
            <w:r>
              <w:rPr>
                <w:rFonts w:hint="eastAsia" w:ascii="方正仿宋简体" w:hAnsi="方正仿宋简体" w:eastAsia="方正仿宋简体" w:cs="方正仿宋简体"/>
                <w:color w:val="auto"/>
                <w:kern w:val="0"/>
                <w:sz w:val="28"/>
                <w:szCs w:val="28"/>
              </w:rPr>
              <w:t>进一步完善科技、艺术、体育等多种类培训课程体系，实现专业化发展，为少年儿童提供全面综合的培训服务</w:t>
            </w:r>
            <w:r>
              <w:rPr>
                <w:rFonts w:hint="eastAsia" w:ascii="方正仿宋简体" w:hAnsi="方正仿宋简体" w:eastAsia="方正仿宋简体" w:cs="方正仿宋简体"/>
                <w:color w:val="auto"/>
                <w:kern w:val="0"/>
                <w:sz w:val="28"/>
                <w:szCs w:val="28"/>
                <w:lang w:eastAsia="zh-CN"/>
              </w:rPr>
              <w:t>，</w:t>
            </w:r>
            <w:r>
              <w:rPr>
                <w:rFonts w:hint="eastAsia" w:ascii="方正仿宋简体" w:hAnsi="方正仿宋简体" w:eastAsia="方正仿宋简体" w:cs="方正仿宋简体"/>
                <w:color w:val="auto"/>
                <w:kern w:val="0"/>
                <w:sz w:val="28"/>
                <w:szCs w:val="28"/>
                <w:lang w:val="en-US" w:eastAsia="zh-CN"/>
              </w:rPr>
              <w:t>全年培训服务人次不低于6000人次；继续开展“公益课程进校园”润心行动，帮助学校加强课后服务和科、艺、体专业社团建设，助力全市“双减”工作，全年公益课程进校园（社区）服务人次不低于2000人次。</w:t>
            </w:r>
          </w:p>
        </w:tc>
      </w:tr>
      <w:tr w14:paraId="69BD2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7" w:hRule="atLeast"/>
        </w:trPr>
        <w:tc>
          <w:tcPr>
            <w:tcW w:w="903" w:type="dxa"/>
            <w:noWrap w:val="0"/>
            <w:vAlign w:val="top"/>
          </w:tcPr>
          <w:p w14:paraId="389F184C">
            <w:pPr>
              <w:spacing w:line="600" w:lineRule="exact"/>
              <w:ind w:firstLine="240" w:firstLineChars="100"/>
              <w:rPr>
                <w:rFonts w:hint="eastAsia" w:ascii="方正仿宋简体" w:hAnsi="方正仿宋简体" w:eastAsia="方正仿宋简体" w:cs="方正仿宋简体"/>
                <w:color w:val="auto"/>
                <w:sz w:val="24"/>
                <w:szCs w:val="24"/>
              </w:rPr>
            </w:pPr>
            <w:r>
              <w:rPr>
                <w:rFonts w:eastAsia="方正仿宋简体"/>
                <w:color w:val="auto"/>
                <w:sz w:val="24"/>
                <w:szCs w:val="24"/>
              </w:rPr>
              <w:t>2</w:t>
            </w:r>
          </w:p>
        </w:tc>
        <w:tc>
          <w:tcPr>
            <w:tcW w:w="2809" w:type="dxa"/>
            <w:noWrap w:val="0"/>
            <w:vAlign w:val="top"/>
          </w:tcPr>
          <w:p w14:paraId="39FC993F">
            <w:pPr>
              <w:rPr>
                <w:rFonts w:hint="eastAsia" w:ascii="方正仿宋简体" w:hAnsi="方正仿宋简体" w:eastAsia="方正仿宋简体" w:cs="方正仿宋简体"/>
                <w:color w:val="auto"/>
                <w:sz w:val="28"/>
                <w:szCs w:val="28"/>
              </w:rPr>
            </w:pPr>
            <w:r>
              <w:rPr>
                <w:rFonts w:hint="eastAsia" w:ascii="方正仿宋简体" w:hAnsi="方正仿宋简体" w:eastAsia="方正仿宋简体" w:cs="方正仿宋简体"/>
                <w:color w:val="auto"/>
                <w:kern w:val="0"/>
                <w:sz w:val="28"/>
                <w:szCs w:val="28"/>
              </w:rPr>
              <w:t>不断扩大公益服务范围，树立“终身学习”生活理念，提供全年龄段素养提升服务；紧盯家庭教育需求，深化协同共育创新机制。</w:t>
            </w:r>
          </w:p>
        </w:tc>
        <w:tc>
          <w:tcPr>
            <w:tcW w:w="5292" w:type="dxa"/>
            <w:noWrap w:val="0"/>
            <w:vAlign w:val="top"/>
          </w:tcPr>
          <w:p w14:paraId="63628F88">
            <w:pPr>
              <w:rPr>
                <w:rFonts w:hint="default" w:ascii="方正仿宋简体" w:hAnsi="方正仿宋简体" w:eastAsia="方正仿宋简体" w:cs="方正仿宋简体"/>
                <w:color w:val="auto"/>
                <w:kern w:val="0"/>
                <w:sz w:val="28"/>
                <w:szCs w:val="28"/>
                <w:lang w:val="en-US" w:eastAsia="zh-CN"/>
              </w:rPr>
            </w:pPr>
            <w:r>
              <w:rPr>
                <w:rFonts w:hint="eastAsia" w:ascii="方正仿宋简体" w:hAnsi="方正仿宋简体" w:eastAsia="方正仿宋简体" w:cs="方正仿宋简体"/>
                <w:color w:val="auto"/>
                <w:kern w:val="0"/>
                <w:sz w:val="28"/>
                <w:szCs w:val="28"/>
              </w:rPr>
              <w:t>持续打造女性服务品牌课程建设，开展各类培训，沙龙等活动</w:t>
            </w:r>
            <w:r>
              <w:rPr>
                <w:rFonts w:hint="eastAsia" w:ascii="方正仿宋简体" w:hAnsi="方正仿宋简体" w:eastAsia="方正仿宋简体" w:cs="方正仿宋简体"/>
                <w:color w:val="auto"/>
                <w:kern w:val="0"/>
                <w:sz w:val="28"/>
                <w:szCs w:val="28"/>
                <w:lang w:eastAsia="zh-CN"/>
              </w:rPr>
              <w:t>，</w:t>
            </w:r>
            <w:r>
              <w:rPr>
                <w:rFonts w:hint="eastAsia" w:ascii="方正仿宋简体" w:hAnsi="方正仿宋简体" w:eastAsia="方正仿宋简体" w:cs="方正仿宋简体"/>
                <w:color w:val="auto"/>
                <w:kern w:val="0"/>
                <w:sz w:val="28"/>
                <w:szCs w:val="28"/>
              </w:rPr>
              <w:t>女性项目活动</w:t>
            </w:r>
            <w:r>
              <w:rPr>
                <w:rFonts w:hint="eastAsia" w:ascii="方正仿宋简体" w:hAnsi="方正仿宋简体" w:eastAsia="方正仿宋简体" w:cs="方正仿宋简体"/>
                <w:color w:val="auto"/>
                <w:kern w:val="0"/>
                <w:sz w:val="28"/>
                <w:szCs w:val="28"/>
                <w:lang w:val="en-US" w:eastAsia="zh-CN"/>
              </w:rPr>
              <w:t>全年</w:t>
            </w:r>
            <w:r>
              <w:rPr>
                <w:rFonts w:hint="eastAsia" w:ascii="方正仿宋简体" w:hAnsi="方正仿宋简体" w:eastAsia="方正仿宋简体" w:cs="方正仿宋简体"/>
                <w:color w:val="auto"/>
                <w:kern w:val="0"/>
                <w:sz w:val="28"/>
                <w:szCs w:val="28"/>
              </w:rPr>
              <w:t>参与人次</w:t>
            </w:r>
            <w:r>
              <w:rPr>
                <w:rFonts w:hint="eastAsia" w:ascii="方正仿宋简体" w:hAnsi="方正仿宋简体" w:eastAsia="方正仿宋简体" w:cs="方正仿宋简体"/>
                <w:color w:val="auto"/>
                <w:kern w:val="0"/>
                <w:sz w:val="28"/>
                <w:szCs w:val="28"/>
                <w:lang w:val="en-US" w:eastAsia="zh-CN"/>
              </w:rPr>
              <w:t>大于1000人次；以“理论性、实操性、体验性”为原则，开展家教、家风等家庭教育指导服务，家庭教育品牌活动全能服务人次不低于1000人次。</w:t>
            </w:r>
          </w:p>
        </w:tc>
      </w:tr>
      <w:tr w14:paraId="75BDC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9" w:hRule="atLeast"/>
        </w:trPr>
        <w:tc>
          <w:tcPr>
            <w:tcW w:w="903" w:type="dxa"/>
            <w:noWrap w:val="0"/>
            <w:vAlign w:val="top"/>
          </w:tcPr>
          <w:p w14:paraId="7D29E778">
            <w:pPr>
              <w:spacing w:line="600" w:lineRule="exact"/>
              <w:ind w:firstLine="240" w:firstLineChars="100"/>
              <w:rPr>
                <w:rFonts w:hint="eastAsia" w:ascii="方正仿宋简体" w:hAnsi="方正仿宋简体" w:eastAsia="方正仿宋简体" w:cs="方正仿宋简体"/>
                <w:color w:val="auto"/>
                <w:sz w:val="24"/>
                <w:szCs w:val="24"/>
              </w:rPr>
            </w:pPr>
            <w:r>
              <w:rPr>
                <w:rFonts w:eastAsia="方正仿宋简体"/>
                <w:color w:val="auto"/>
                <w:sz w:val="24"/>
                <w:szCs w:val="24"/>
              </w:rPr>
              <w:t>3</w:t>
            </w:r>
          </w:p>
        </w:tc>
        <w:tc>
          <w:tcPr>
            <w:tcW w:w="2809" w:type="dxa"/>
            <w:noWrap w:val="0"/>
            <w:vAlign w:val="top"/>
          </w:tcPr>
          <w:p w14:paraId="4EEDB6E4">
            <w:pPr>
              <w:rPr>
                <w:rFonts w:hint="eastAsia" w:ascii="方正仿宋简体" w:hAnsi="方正仿宋简体" w:eastAsia="方正仿宋简体" w:cs="方正仿宋简体"/>
                <w:color w:val="auto"/>
                <w:sz w:val="28"/>
                <w:szCs w:val="28"/>
              </w:rPr>
            </w:pPr>
            <w:r>
              <w:rPr>
                <w:rFonts w:hint="eastAsia" w:ascii="方正仿宋简体" w:hAnsi="方正仿宋简体" w:eastAsia="方正仿宋简体" w:cs="方正仿宋简体"/>
                <w:color w:val="auto"/>
                <w:kern w:val="0"/>
                <w:sz w:val="28"/>
                <w:szCs w:val="28"/>
              </w:rPr>
              <w:t>持续打造各类品牌展演赛活动，加强综合性公益社团建设，进一步提升中心区域影响力，为广大少年儿童提供展示平台</w:t>
            </w:r>
          </w:p>
        </w:tc>
        <w:tc>
          <w:tcPr>
            <w:tcW w:w="5292" w:type="dxa"/>
            <w:noWrap w:val="0"/>
            <w:vAlign w:val="top"/>
          </w:tcPr>
          <w:p w14:paraId="13BD77F7">
            <w:pPr>
              <w:rPr>
                <w:rFonts w:hint="default" w:ascii="方正仿宋简体" w:hAnsi="方正仿宋简体" w:eastAsia="方正仿宋简体" w:cs="方正仿宋简体"/>
                <w:color w:val="auto"/>
                <w:sz w:val="28"/>
                <w:szCs w:val="28"/>
                <w:lang w:val="en-US" w:eastAsia="zh-CN"/>
              </w:rPr>
            </w:pPr>
            <w:r>
              <w:rPr>
                <w:rFonts w:hint="eastAsia" w:ascii="方正仿宋简体" w:hAnsi="方正仿宋简体" w:eastAsia="方正仿宋简体" w:cs="方正仿宋简体"/>
                <w:color w:val="auto"/>
                <w:kern w:val="0"/>
                <w:sz w:val="28"/>
                <w:szCs w:val="28"/>
              </w:rPr>
              <w:t>综合建设、完善品牌公益社团体系，助力少年儿童综合发展</w:t>
            </w:r>
            <w:r>
              <w:rPr>
                <w:rFonts w:hint="eastAsia" w:ascii="方正仿宋简体" w:hAnsi="方正仿宋简体" w:eastAsia="方正仿宋简体" w:cs="方正仿宋简体"/>
                <w:color w:val="auto"/>
                <w:kern w:val="0"/>
                <w:sz w:val="28"/>
                <w:szCs w:val="28"/>
                <w:lang w:eastAsia="zh-CN"/>
              </w:rPr>
              <w:t>，全年</w:t>
            </w:r>
            <w:r>
              <w:rPr>
                <w:rFonts w:hint="eastAsia" w:ascii="方正仿宋简体" w:hAnsi="方正仿宋简体" w:eastAsia="方正仿宋简体" w:cs="方正仿宋简体"/>
                <w:color w:val="auto"/>
                <w:kern w:val="0"/>
                <w:sz w:val="28"/>
                <w:szCs w:val="28"/>
                <w:lang w:val="en-US" w:eastAsia="zh-CN"/>
              </w:rPr>
              <w:t>公益社团培训大于400人次；继续开展各类中心核心品牌展演赛活动，为广大少年儿童提供综合性展示平台，品牌公益活动参与人次全年大于40000人；开展“儿童友好城市”主题活动，树立南京市儿童友好城市建设区域样板，儿童友好城市社会实践活动参与人次大于1000人次。</w:t>
            </w:r>
          </w:p>
        </w:tc>
      </w:tr>
    </w:tbl>
    <w:p w14:paraId="12925F5E">
      <w:pPr>
        <w:adjustRightInd w:val="0"/>
        <w:snapToGrid w:val="0"/>
        <w:spacing w:line="560" w:lineRule="exact"/>
        <w:ind w:firstLine="640" w:firstLineChars="200"/>
        <w:outlineLvl w:val="0"/>
        <w:rPr>
          <w:rFonts w:hint="eastAsia" w:ascii="方正仿宋简体" w:hAnsi="方正仿宋简体" w:eastAsia="方正仿宋简体" w:cs="方正仿宋简体"/>
          <w:color w:val="auto"/>
          <w:sz w:val="32"/>
          <w:szCs w:val="32"/>
        </w:rPr>
      </w:pPr>
    </w:p>
    <w:p w14:paraId="6A80C2F3">
      <w:pPr>
        <w:adjustRightInd w:val="0"/>
        <w:snapToGrid w:val="0"/>
        <w:spacing w:line="560" w:lineRule="exact"/>
        <w:ind w:firstLine="640" w:firstLineChars="200"/>
        <w:outlineLvl w:val="0"/>
        <w:rPr>
          <w:rFonts w:hint="eastAsia" w:ascii="黑体" w:hAnsi="黑体" w:eastAsia="黑体" w:cs="黑体"/>
          <w:color w:val="auto"/>
          <w:sz w:val="32"/>
          <w:szCs w:val="32"/>
        </w:rPr>
      </w:pPr>
      <w:r>
        <w:rPr>
          <w:rFonts w:hint="eastAsia" w:ascii="黑体" w:hAnsi="黑体" w:eastAsia="黑体" w:cs="黑体"/>
          <w:color w:val="auto"/>
          <w:sz w:val="32"/>
          <w:szCs w:val="32"/>
        </w:rPr>
        <w:t>二、评价结论</w:t>
      </w:r>
      <w:bookmarkEnd w:id="9"/>
    </w:p>
    <w:p w14:paraId="36D86CE0">
      <w:pPr>
        <w:adjustRightInd w:val="0"/>
        <w:snapToGrid w:val="0"/>
        <w:spacing w:line="560" w:lineRule="exact"/>
        <w:ind w:firstLine="640" w:firstLineChars="200"/>
        <w:outlineLvl w:val="1"/>
        <w:rPr>
          <w:rFonts w:hint="eastAsia" w:ascii="楷体" w:hAnsi="楷体" w:eastAsia="楷体" w:cs="楷体"/>
          <w:color w:val="auto"/>
          <w:sz w:val="32"/>
          <w:szCs w:val="32"/>
        </w:rPr>
      </w:pPr>
      <w:bookmarkStart w:id="13" w:name="_Toc178059780"/>
      <w:r>
        <w:rPr>
          <w:rFonts w:hint="eastAsia" w:ascii="楷体" w:hAnsi="楷体" w:eastAsia="楷体" w:cs="楷体"/>
          <w:color w:val="auto"/>
          <w:sz w:val="32"/>
          <w:szCs w:val="32"/>
        </w:rPr>
        <w:t>（一）评价对象与范围</w:t>
      </w:r>
      <w:bookmarkEnd w:id="13"/>
    </w:p>
    <w:p w14:paraId="05AE93C6">
      <w:pPr>
        <w:pStyle w:val="30"/>
        <w:rPr>
          <w:rFonts w:hint="eastAsia" w:ascii="方正仿宋简体" w:hAnsi="方正仿宋简体" w:eastAsia="方正仿宋简体" w:cs="方正仿宋简体"/>
          <w:color w:val="auto"/>
        </w:rPr>
      </w:pPr>
      <w:bookmarkStart w:id="14" w:name="_Toc157713194"/>
      <w:bookmarkStart w:id="15" w:name="_Toc178059781"/>
      <w:r>
        <w:rPr>
          <w:rFonts w:eastAsia="方正仿宋简体"/>
          <w:color w:val="auto"/>
        </w:rPr>
        <w:t>本次评价对象为南京市妇女儿童活动中心整体资金</w:t>
      </w:r>
      <w:r>
        <w:rPr>
          <w:rFonts w:hint="eastAsia" w:eastAsia="方正仿宋简体"/>
          <w:color w:val="auto"/>
          <w:sz w:val="32"/>
          <w:szCs w:val="32"/>
          <w:lang w:val="en-US" w:eastAsia="zh-CN"/>
        </w:rPr>
        <w:t>1895.81</w:t>
      </w:r>
      <w:r>
        <w:rPr>
          <w:rFonts w:eastAsia="方正仿宋简体"/>
          <w:color w:val="auto"/>
        </w:rPr>
        <w:t>万元，包括基本支出和项目支出。评价时段为</w:t>
      </w:r>
      <w:r>
        <w:rPr>
          <w:rFonts w:hint="eastAsia" w:eastAsia="方正仿宋简体"/>
          <w:color w:val="auto"/>
          <w:lang w:eastAsia="zh-CN"/>
        </w:rPr>
        <w:t>2025</w:t>
      </w:r>
      <w:r>
        <w:rPr>
          <w:rFonts w:eastAsia="方正仿宋简体"/>
          <w:color w:val="auto"/>
        </w:rPr>
        <w:t>年1月1日至12月31日</w:t>
      </w:r>
      <w:r>
        <w:rPr>
          <w:rFonts w:hint="eastAsia" w:ascii="方正仿宋简体" w:hAnsi="方正仿宋简体" w:eastAsia="方正仿宋简体" w:cs="方正仿宋简体"/>
          <w:color w:val="auto"/>
        </w:rPr>
        <w:t>。</w:t>
      </w:r>
    </w:p>
    <w:p w14:paraId="0C1B5FC8">
      <w:pPr>
        <w:adjustRightInd w:val="0"/>
        <w:snapToGrid w:val="0"/>
        <w:spacing w:line="560" w:lineRule="exact"/>
        <w:ind w:firstLine="640" w:firstLineChars="200"/>
        <w:outlineLvl w:val="1"/>
        <w:rPr>
          <w:rFonts w:hint="eastAsia" w:ascii="楷体" w:hAnsi="楷体" w:eastAsia="楷体" w:cs="楷体"/>
          <w:color w:val="auto"/>
          <w:sz w:val="32"/>
          <w:szCs w:val="32"/>
        </w:rPr>
      </w:pPr>
      <w:r>
        <w:rPr>
          <w:rFonts w:hint="eastAsia" w:ascii="楷体" w:hAnsi="楷体" w:eastAsia="楷体" w:cs="楷体"/>
          <w:color w:val="auto"/>
          <w:sz w:val="32"/>
          <w:szCs w:val="32"/>
        </w:rPr>
        <w:t>（二）绩效评价结论</w:t>
      </w:r>
      <w:bookmarkEnd w:id="14"/>
      <w:bookmarkEnd w:id="15"/>
    </w:p>
    <w:p w14:paraId="458FB06E">
      <w:pPr>
        <w:spacing w:line="560" w:lineRule="exact"/>
        <w:ind w:firstLine="640" w:firstLineChars="200"/>
        <w:rPr>
          <w:rFonts w:hint="eastAsia" w:ascii="方正仿宋简体" w:hAnsi="方正仿宋简体" w:eastAsia="方正仿宋简体" w:cs="方正仿宋简体"/>
          <w:color w:val="auto"/>
          <w:sz w:val="32"/>
          <w:szCs w:val="32"/>
        </w:rPr>
      </w:pPr>
      <w:r>
        <w:rPr>
          <w:rFonts w:eastAsia="方正仿宋简体"/>
          <w:color w:val="auto"/>
          <w:sz w:val="32"/>
          <w:szCs w:val="32"/>
        </w:rPr>
        <w:t>经综合评价，市妇儿中心</w:t>
      </w:r>
      <w:r>
        <w:rPr>
          <w:rFonts w:hint="eastAsia" w:eastAsia="方正仿宋简体"/>
          <w:color w:val="auto"/>
          <w:sz w:val="32"/>
          <w:szCs w:val="32"/>
          <w:lang w:eastAsia="zh-CN"/>
        </w:rPr>
        <w:t>2025</w:t>
      </w:r>
      <w:r>
        <w:rPr>
          <w:rFonts w:eastAsia="方正仿宋简体"/>
          <w:color w:val="auto"/>
          <w:sz w:val="32"/>
          <w:szCs w:val="32"/>
        </w:rPr>
        <w:t>年度部门整体绩效评分结果为99.</w:t>
      </w:r>
      <w:r>
        <w:rPr>
          <w:rFonts w:hint="eastAsia" w:eastAsia="方正仿宋简体"/>
          <w:color w:val="auto"/>
          <w:sz w:val="32"/>
          <w:szCs w:val="32"/>
          <w:lang w:val="en-US" w:eastAsia="zh-CN"/>
        </w:rPr>
        <w:t>5</w:t>
      </w:r>
      <w:r>
        <w:rPr>
          <w:rFonts w:eastAsia="方正仿宋简体"/>
          <w:color w:val="auto"/>
          <w:sz w:val="32"/>
          <w:szCs w:val="32"/>
        </w:rPr>
        <w:t>分（满分100分）</w:t>
      </w:r>
      <w:r>
        <w:rPr>
          <w:rFonts w:hint="eastAsia" w:ascii="方正仿宋简体" w:hAnsi="方正仿宋简体" w:eastAsia="方正仿宋简体" w:cs="方正仿宋简体"/>
          <w:color w:val="auto"/>
          <w:sz w:val="32"/>
          <w:szCs w:val="32"/>
        </w:rPr>
        <w:t>，绩效等级为“优”。</w:t>
      </w:r>
    </w:p>
    <w:p w14:paraId="1C252EDC">
      <w:pPr>
        <w:snapToGrid w:val="0"/>
        <w:spacing w:line="520" w:lineRule="exact"/>
        <w:ind w:firstLine="640" w:firstLineChars="200"/>
        <w:rPr>
          <w:rFonts w:hint="eastAsia" w:ascii="仿宋_GB2312" w:hAnsi="仿宋" w:eastAsia="仿宋_GB2312" w:cs="Times New Roman"/>
          <w:color w:val="auto"/>
          <w:sz w:val="32"/>
          <w:szCs w:val="32"/>
          <w:lang w:eastAsia="zh-CN"/>
        </w:rPr>
      </w:pPr>
      <w:r>
        <w:rPr>
          <w:rFonts w:hint="eastAsia" w:ascii="仿宋_GB2312" w:hAnsi="仿宋" w:eastAsia="仿宋_GB2312" w:cs="Times New Roman"/>
          <w:color w:val="auto"/>
          <w:sz w:val="32"/>
          <w:szCs w:val="32"/>
          <w:lang w:val="en-US" w:eastAsia="zh-CN"/>
        </w:rPr>
        <w:t>整体而言，2025年</w:t>
      </w:r>
      <w:r>
        <w:rPr>
          <w:rFonts w:hint="eastAsia" w:ascii="仿宋_GB2312" w:hAnsi="仿宋" w:eastAsia="仿宋_GB2312" w:cs="Times New Roman"/>
          <w:color w:val="auto"/>
          <w:sz w:val="32"/>
          <w:szCs w:val="32"/>
        </w:rPr>
        <w:t>市妇儿中心以习近平新时代中国特色社会主义思想为指导，贯彻落实</w:t>
      </w:r>
      <w:r>
        <w:rPr>
          <w:rFonts w:hint="eastAsia" w:ascii="仿宋_GB2312" w:hAnsi="仿宋" w:eastAsia="仿宋_GB2312" w:cs="Times New Roman"/>
          <w:color w:val="auto"/>
          <w:sz w:val="32"/>
          <w:szCs w:val="32"/>
          <w:lang w:eastAsia="zh-CN"/>
        </w:rPr>
        <w:t>党的二十大和二十届二中、三中</w:t>
      </w:r>
      <w:r>
        <w:rPr>
          <w:rFonts w:hint="eastAsia" w:ascii="仿宋_GB2312" w:hAnsi="仿宋" w:eastAsia="仿宋_GB2312" w:cs="Times New Roman"/>
          <w:color w:val="auto"/>
          <w:sz w:val="32"/>
          <w:szCs w:val="32"/>
        </w:rPr>
        <w:t>、四中全会精神和习近平总书记对江苏工作的重要讲话重要指示精神，全面落实</w:t>
      </w:r>
      <w:r>
        <w:rPr>
          <w:rFonts w:hint="eastAsia" w:ascii="仿宋_GB2312" w:hAnsi="仿宋" w:eastAsia="仿宋_GB2312" w:cs="Times New Roman"/>
          <w:color w:val="auto"/>
          <w:sz w:val="32"/>
          <w:szCs w:val="32"/>
          <w:lang w:eastAsia="zh-CN"/>
        </w:rPr>
        <w:t>市委、市政府</w:t>
      </w:r>
      <w:r>
        <w:rPr>
          <w:rFonts w:hint="eastAsia" w:ascii="仿宋_GB2312" w:hAnsi="仿宋" w:eastAsia="仿宋_GB2312" w:cs="Times New Roman"/>
          <w:color w:val="auto"/>
          <w:sz w:val="32"/>
          <w:szCs w:val="32"/>
        </w:rPr>
        <w:t>和市妇联的决策部署，以改革创新引领高质量发展，为妇女儿童事业发展贡献力量。持续优化课程体系与服务机制，推动更多资源下沉，让更多优秀教师加入到服务街道和社区的服务中来，为妇女儿童和家庭提供更精准、普惠的高质量服务</w:t>
      </w:r>
      <w:r>
        <w:rPr>
          <w:rFonts w:hint="eastAsia" w:ascii="仿宋_GB2312" w:hAnsi="仿宋" w:eastAsia="仿宋_GB2312" w:cs="Times New Roman"/>
          <w:color w:val="auto"/>
          <w:sz w:val="32"/>
          <w:szCs w:val="32"/>
          <w:lang w:eastAsia="zh-CN"/>
        </w:rPr>
        <w:t>；</w:t>
      </w:r>
      <w:r>
        <w:rPr>
          <w:rFonts w:hint="eastAsia" w:ascii="仿宋_GB2312" w:hAnsi="仿宋" w:eastAsia="仿宋_GB2312" w:cs="Times New Roman"/>
          <w:color w:val="auto"/>
          <w:sz w:val="32"/>
          <w:szCs w:val="32"/>
        </w:rPr>
        <w:t>持续开展全年龄段素养提升培训课程</w:t>
      </w:r>
      <w:r>
        <w:rPr>
          <w:rFonts w:hint="eastAsia" w:ascii="仿宋_GB2312" w:hAnsi="仿宋" w:eastAsia="仿宋_GB2312" w:cs="Times New Roman"/>
          <w:color w:val="auto"/>
          <w:sz w:val="32"/>
          <w:szCs w:val="32"/>
          <w:lang w:eastAsia="zh-CN"/>
        </w:rPr>
        <w:t>，</w:t>
      </w:r>
      <w:r>
        <w:rPr>
          <w:rFonts w:hint="eastAsia" w:ascii="仿宋_GB2312" w:hAnsi="仿宋" w:eastAsia="仿宋_GB2312" w:cs="Times New Roman"/>
          <w:color w:val="auto"/>
          <w:sz w:val="32"/>
          <w:szCs w:val="32"/>
        </w:rPr>
        <w:t>提升教学质量，加强教师队伍建设，完善培训课程体系</w:t>
      </w:r>
      <w:r>
        <w:rPr>
          <w:rFonts w:hint="eastAsia" w:ascii="仿宋_GB2312" w:hAnsi="仿宋" w:eastAsia="仿宋_GB2312" w:cs="Times New Roman"/>
          <w:color w:val="auto"/>
          <w:sz w:val="32"/>
          <w:szCs w:val="32"/>
          <w:lang w:eastAsia="zh-CN"/>
        </w:rPr>
        <w:t>；</w:t>
      </w:r>
      <w:r>
        <w:rPr>
          <w:rFonts w:hint="eastAsia" w:ascii="仿宋_GB2312" w:hAnsi="仿宋" w:eastAsia="仿宋_GB2312" w:cs="Times New Roman"/>
          <w:color w:val="auto"/>
          <w:sz w:val="32"/>
          <w:szCs w:val="32"/>
        </w:rPr>
        <w:t>在“润心行动”公益课程进校园的基础上，打造“校内外协同育人生态圈”</w:t>
      </w:r>
      <w:r>
        <w:rPr>
          <w:rFonts w:hint="eastAsia" w:ascii="仿宋_GB2312" w:hAnsi="仿宋" w:eastAsia="仿宋_GB2312" w:cs="Times New Roman"/>
          <w:color w:val="auto"/>
          <w:sz w:val="32"/>
          <w:szCs w:val="32"/>
          <w:lang w:eastAsia="zh-CN"/>
        </w:rPr>
        <w:t>，</w:t>
      </w:r>
      <w:r>
        <w:rPr>
          <w:rFonts w:hint="eastAsia" w:ascii="仿宋_GB2312" w:hAnsi="仿宋" w:eastAsia="仿宋_GB2312" w:cs="Times New Roman"/>
          <w:color w:val="auto"/>
          <w:sz w:val="32"/>
          <w:szCs w:val="32"/>
          <w:lang w:val="en-US" w:eastAsia="zh-CN"/>
        </w:rPr>
        <w:t>并获评“南京市新时代青少年校外教育实践（劳动）阵地”称号，</w:t>
      </w:r>
      <w:r>
        <w:rPr>
          <w:rFonts w:hint="eastAsia" w:ascii="仿宋_GB2312" w:hAnsi="仿宋" w:eastAsia="仿宋_GB2312" w:cs="Times New Roman"/>
          <w:color w:val="auto"/>
          <w:sz w:val="32"/>
          <w:szCs w:val="32"/>
        </w:rPr>
        <w:t>实现社会效益与经济效益同步增长</w:t>
      </w:r>
      <w:r>
        <w:rPr>
          <w:rFonts w:hint="eastAsia" w:ascii="仿宋_GB2312" w:hAnsi="仿宋" w:eastAsia="仿宋_GB2312" w:cs="Times New Roman"/>
          <w:color w:val="auto"/>
          <w:sz w:val="32"/>
          <w:szCs w:val="32"/>
          <w:lang w:eastAsia="zh-CN"/>
        </w:rPr>
        <w:t>；</w:t>
      </w:r>
      <w:r>
        <w:rPr>
          <w:rFonts w:hint="eastAsia" w:ascii="仿宋_GB2312" w:hAnsi="仿宋" w:eastAsia="仿宋_GB2312" w:cs="Times New Roman"/>
          <w:color w:val="auto"/>
          <w:sz w:val="32"/>
          <w:szCs w:val="32"/>
        </w:rPr>
        <w:t>持续打造“紫鲸”品牌</w:t>
      </w:r>
      <w:r>
        <w:rPr>
          <w:rFonts w:hint="eastAsia" w:ascii="仿宋_GB2312" w:hAnsi="仿宋" w:eastAsia="仿宋_GB2312" w:cs="Times New Roman"/>
          <w:color w:val="auto"/>
          <w:sz w:val="32"/>
          <w:szCs w:val="32"/>
          <w:lang w:eastAsia="zh-CN"/>
        </w:rPr>
        <w:t>，</w:t>
      </w:r>
      <w:r>
        <w:rPr>
          <w:rFonts w:hint="eastAsia" w:ascii="仿宋_GB2312" w:hAnsi="仿宋" w:eastAsia="仿宋_GB2312" w:cs="Times New Roman"/>
          <w:color w:val="auto"/>
          <w:sz w:val="32"/>
          <w:szCs w:val="32"/>
        </w:rPr>
        <w:t>重点加强“紫金草艺术团”建设</w:t>
      </w:r>
      <w:r>
        <w:rPr>
          <w:rFonts w:hint="eastAsia" w:ascii="仿宋_GB2312" w:hAnsi="仿宋" w:eastAsia="仿宋_GB2312" w:cs="Times New Roman"/>
          <w:color w:val="auto"/>
          <w:sz w:val="32"/>
          <w:szCs w:val="32"/>
          <w:lang w:eastAsia="zh-CN"/>
        </w:rPr>
        <w:t>；</w:t>
      </w:r>
      <w:r>
        <w:rPr>
          <w:rFonts w:hint="eastAsia" w:ascii="仿宋_GB2312" w:hAnsi="仿宋" w:eastAsia="仿宋_GB2312" w:cs="Times New Roman"/>
          <w:color w:val="auto"/>
          <w:sz w:val="32"/>
          <w:szCs w:val="32"/>
          <w:lang w:val="en-US" w:eastAsia="zh-CN"/>
        </w:rPr>
        <w:t>持续举办各类</w:t>
      </w:r>
      <w:r>
        <w:rPr>
          <w:rFonts w:hint="eastAsia" w:ascii="仿宋_GB2312" w:hAnsi="仿宋" w:eastAsia="仿宋_GB2312" w:cs="Times New Roman"/>
          <w:color w:val="auto"/>
          <w:sz w:val="32"/>
          <w:szCs w:val="32"/>
        </w:rPr>
        <w:t>品牌活动</w:t>
      </w:r>
      <w:r>
        <w:rPr>
          <w:rFonts w:hint="eastAsia" w:ascii="仿宋_GB2312" w:hAnsi="仿宋" w:eastAsia="仿宋_GB2312" w:cs="Times New Roman"/>
          <w:color w:val="auto"/>
          <w:sz w:val="32"/>
          <w:szCs w:val="32"/>
          <w:lang w:eastAsia="zh-CN"/>
        </w:rPr>
        <w:t>，</w:t>
      </w:r>
      <w:r>
        <w:rPr>
          <w:rFonts w:hint="eastAsia" w:ascii="仿宋_GB2312" w:hAnsi="仿宋" w:eastAsia="仿宋_GB2312" w:cs="Times New Roman"/>
          <w:color w:val="auto"/>
          <w:sz w:val="32"/>
          <w:szCs w:val="32"/>
        </w:rPr>
        <w:t>进一步扩大中心影响力</w:t>
      </w:r>
      <w:r>
        <w:rPr>
          <w:rFonts w:hint="eastAsia" w:ascii="仿宋_GB2312" w:hAnsi="仿宋" w:eastAsia="仿宋_GB2312" w:cs="Times New Roman"/>
          <w:color w:val="auto"/>
          <w:sz w:val="32"/>
          <w:szCs w:val="32"/>
          <w:lang w:eastAsia="zh-CN"/>
        </w:rPr>
        <w:t>。</w:t>
      </w:r>
    </w:p>
    <w:p w14:paraId="4CA47C36">
      <w:pPr>
        <w:shd w:val="clear"/>
        <w:spacing w:line="560" w:lineRule="exact"/>
        <w:ind w:firstLine="640" w:firstLineChars="200"/>
        <w:rPr>
          <w:rFonts w:hint="eastAsia" w:ascii="方正仿宋简体" w:hAnsi="方正仿宋简体" w:eastAsia="方正仿宋简体" w:cs="方正仿宋简体"/>
          <w:color w:val="auto"/>
          <w:sz w:val="32"/>
          <w:szCs w:val="32"/>
        </w:rPr>
      </w:pPr>
      <w:r>
        <w:rPr>
          <w:rFonts w:hint="eastAsia" w:eastAsia="方正仿宋简体"/>
          <w:color w:val="auto"/>
          <w:sz w:val="32"/>
          <w:szCs w:val="32"/>
          <w:lang w:eastAsia="zh-CN"/>
        </w:rPr>
        <w:t>2025</w:t>
      </w:r>
      <w:r>
        <w:rPr>
          <w:rFonts w:eastAsia="方正仿宋简体"/>
          <w:color w:val="auto"/>
          <w:sz w:val="32"/>
          <w:szCs w:val="32"/>
        </w:rPr>
        <w:t>年度我单位整体绩</w:t>
      </w:r>
      <w:r>
        <w:rPr>
          <w:rFonts w:hint="eastAsia" w:ascii="方正仿宋简体" w:hAnsi="方正仿宋简体" w:eastAsia="方正仿宋简体" w:cs="方正仿宋简体"/>
          <w:color w:val="auto"/>
          <w:sz w:val="32"/>
          <w:szCs w:val="32"/>
        </w:rPr>
        <w:t>效自评价等级为“优”，但也存在绩效指标设定科学性、准确性、全面性不够</w:t>
      </w:r>
      <w:r>
        <w:rPr>
          <w:rFonts w:hint="eastAsia" w:ascii="方正仿宋简体" w:hAnsi="方正仿宋简体" w:eastAsia="方正仿宋简体" w:cs="方正仿宋简体"/>
          <w:color w:val="auto"/>
          <w:sz w:val="32"/>
          <w:szCs w:val="32"/>
          <w:lang w:val="en-US" w:eastAsia="zh-CN"/>
        </w:rPr>
        <w:t>的</w:t>
      </w:r>
      <w:r>
        <w:rPr>
          <w:rFonts w:hint="eastAsia" w:ascii="方正仿宋简体" w:hAnsi="方正仿宋简体" w:eastAsia="方正仿宋简体" w:cs="方正仿宋简体"/>
          <w:color w:val="auto"/>
          <w:sz w:val="32"/>
          <w:szCs w:val="32"/>
        </w:rPr>
        <w:t>问题。针对这</w:t>
      </w:r>
      <w:r>
        <w:rPr>
          <w:rFonts w:hint="eastAsia" w:ascii="方正仿宋简体" w:hAnsi="方正仿宋简体" w:eastAsia="方正仿宋简体" w:cs="方正仿宋简体"/>
          <w:color w:val="auto"/>
          <w:sz w:val="32"/>
          <w:szCs w:val="32"/>
          <w:lang w:val="en-US" w:eastAsia="zh-CN"/>
        </w:rPr>
        <w:t>类</w:t>
      </w:r>
      <w:r>
        <w:rPr>
          <w:rFonts w:hint="eastAsia" w:ascii="方正仿宋简体" w:hAnsi="方正仿宋简体" w:eastAsia="方正仿宋简体" w:cs="方正仿宋简体"/>
          <w:color w:val="auto"/>
          <w:sz w:val="32"/>
          <w:szCs w:val="32"/>
        </w:rPr>
        <w:t>问题，我单位将</w:t>
      </w:r>
      <w:r>
        <w:rPr>
          <w:rFonts w:hint="eastAsia" w:ascii="方正仿宋简体" w:hAnsi="方正仿宋简体" w:eastAsia="方正仿宋简体" w:cs="方正仿宋简体"/>
          <w:color w:val="auto"/>
          <w:spacing w:val="11"/>
          <w:sz w:val="32"/>
          <w:szCs w:val="32"/>
          <w:shd w:val="clear" w:color="auto" w:fill="FFFFFF"/>
        </w:rPr>
        <w:t>根据实际情况，做好绩效指标规划，构建更为科学、准确、全面的绩效指标体系，提升绩效指标与年度目标、重点工作的匹配</w:t>
      </w:r>
      <w:r>
        <w:rPr>
          <w:rFonts w:hint="eastAsia" w:ascii="方正仿宋简体" w:hAnsi="方正仿宋简体" w:eastAsia="方正仿宋简体" w:cs="方正仿宋简体"/>
          <w:color w:val="auto"/>
          <w:sz w:val="32"/>
          <w:szCs w:val="32"/>
        </w:rPr>
        <w:t>。</w:t>
      </w:r>
    </w:p>
    <w:p w14:paraId="3C68BE2D">
      <w:pPr>
        <w:numPr>
          <w:ilvl w:val="0"/>
          <w:numId w:val="2"/>
        </w:numPr>
        <w:adjustRightInd w:val="0"/>
        <w:snapToGrid w:val="0"/>
        <w:spacing w:line="560" w:lineRule="exact"/>
        <w:ind w:firstLine="640" w:firstLineChars="200"/>
        <w:outlineLvl w:val="0"/>
        <w:rPr>
          <w:rFonts w:hint="eastAsia" w:ascii="黑体" w:hAnsi="黑体" w:eastAsia="黑体" w:cs="黑体"/>
          <w:color w:val="auto"/>
          <w:sz w:val="32"/>
          <w:szCs w:val="32"/>
        </w:rPr>
      </w:pPr>
      <w:bookmarkStart w:id="16" w:name="_Toc178059782"/>
      <w:r>
        <w:rPr>
          <w:rFonts w:hint="eastAsia" w:ascii="黑体" w:hAnsi="黑体" w:eastAsia="黑体" w:cs="黑体"/>
          <w:color w:val="auto"/>
          <w:sz w:val="32"/>
          <w:szCs w:val="32"/>
        </w:rPr>
        <w:t>部门履职成效</w:t>
      </w:r>
      <w:bookmarkEnd w:id="16"/>
    </w:p>
    <w:p w14:paraId="635AACED">
      <w:pPr>
        <w:spacing w:line="560" w:lineRule="exact"/>
        <w:ind w:firstLine="684" w:firstLineChars="200"/>
        <w:rPr>
          <w:rFonts w:hint="eastAsia" w:ascii="方正仿宋简体" w:hAnsi="方正仿宋简体" w:eastAsia="方正仿宋简体" w:cs="方正仿宋简体"/>
          <w:color w:val="auto"/>
          <w:spacing w:val="11"/>
          <w:sz w:val="32"/>
          <w:szCs w:val="32"/>
          <w:shd w:val="clear" w:color="auto" w:fill="FFFFFF"/>
        </w:rPr>
      </w:pPr>
      <w:r>
        <w:rPr>
          <w:rFonts w:hint="eastAsia" w:ascii="方正仿宋简体" w:hAnsi="方正仿宋简体" w:eastAsia="方正仿宋简体" w:cs="方正仿宋简体"/>
          <w:color w:val="auto"/>
          <w:spacing w:val="11"/>
          <w:sz w:val="32"/>
          <w:szCs w:val="32"/>
          <w:shd w:val="clear" w:color="auto" w:fill="FFFFFF"/>
        </w:rPr>
        <w:t>2025年是“十四五”规划收官之年。市妇儿中心坚持以习近平新时代中国特色社会主义思想为指导，贯彻落实</w:t>
      </w:r>
      <w:r>
        <w:rPr>
          <w:rFonts w:hint="eastAsia" w:ascii="方正仿宋简体" w:hAnsi="方正仿宋简体" w:eastAsia="方正仿宋简体" w:cs="方正仿宋简体"/>
          <w:color w:val="auto"/>
          <w:spacing w:val="11"/>
          <w:sz w:val="32"/>
          <w:szCs w:val="32"/>
          <w:shd w:val="clear" w:color="auto" w:fill="FFFFFF"/>
          <w:lang w:eastAsia="zh-CN"/>
        </w:rPr>
        <w:t>党的二十大和二十届二中、三中</w:t>
      </w:r>
      <w:r>
        <w:rPr>
          <w:rFonts w:hint="eastAsia" w:ascii="方正仿宋简体" w:hAnsi="方正仿宋简体" w:eastAsia="方正仿宋简体" w:cs="方正仿宋简体"/>
          <w:color w:val="auto"/>
          <w:spacing w:val="11"/>
          <w:sz w:val="32"/>
          <w:szCs w:val="32"/>
          <w:shd w:val="clear" w:color="auto" w:fill="FFFFFF"/>
        </w:rPr>
        <w:t>、四中全会精神和习近平总书记对江苏工作的重要讲话重要指示精神，全面落实</w:t>
      </w:r>
      <w:r>
        <w:rPr>
          <w:rFonts w:hint="eastAsia" w:ascii="方正仿宋简体" w:hAnsi="方正仿宋简体" w:eastAsia="方正仿宋简体" w:cs="方正仿宋简体"/>
          <w:color w:val="auto"/>
          <w:spacing w:val="11"/>
          <w:sz w:val="32"/>
          <w:szCs w:val="32"/>
          <w:shd w:val="clear" w:color="auto" w:fill="FFFFFF"/>
          <w:lang w:eastAsia="zh-CN"/>
        </w:rPr>
        <w:t>市委、市政府</w:t>
      </w:r>
      <w:r>
        <w:rPr>
          <w:rFonts w:hint="eastAsia" w:ascii="方正仿宋简体" w:hAnsi="方正仿宋简体" w:eastAsia="方正仿宋简体" w:cs="方正仿宋简体"/>
          <w:color w:val="auto"/>
          <w:spacing w:val="11"/>
          <w:sz w:val="32"/>
          <w:szCs w:val="32"/>
          <w:shd w:val="clear" w:color="auto" w:fill="FFFFFF"/>
        </w:rPr>
        <w:t>和市妇联的决策部署，以改革创新引领高质量发展，为妇女儿童事业发展贡献力量。</w:t>
      </w:r>
    </w:p>
    <w:p w14:paraId="1186C69F">
      <w:pPr>
        <w:snapToGrid w:val="0"/>
        <w:spacing w:line="520" w:lineRule="exact"/>
        <w:ind w:firstLine="640" w:firstLineChars="200"/>
        <w:rPr>
          <w:rFonts w:hint="eastAsia" w:ascii="仿宋_GB2312" w:hAnsi="仿宋" w:eastAsia="仿宋_GB2312" w:cs="Times New Roman"/>
          <w:color w:val="auto"/>
          <w:sz w:val="32"/>
          <w:szCs w:val="32"/>
        </w:rPr>
      </w:pPr>
      <w:bookmarkStart w:id="17" w:name="_Toc178059783"/>
      <w:r>
        <w:rPr>
          <w:rFonts w:hint="eastAsia" w:ascii="仿宋_GB2312" w:hAnsi="仿宋" w:eastAsia="仿宋_GB2312" w:cs="Times New Roman"/>
          <w:color w:val="auto"/>
          <w:sz w:val="32"/>
          <w:szCs w:val="32"/>
          <w:lang w:val="en-US" w:eastAsia="zh-CN"/>
        </w:rPr>
        <w:t>1、</w:t>
      </w:r>
      <w:r>
        <w:rPr>
          <w:rFonts w:hint="eastAsia" w:ascii="仿宋_GB2312" w:hAnsi="仿宋" w:eastAsia="仿宋_GB2312" w:cs="Times New Roman"/>
          <w:color w:val="auto"/>
          <w:sz w:val="32"/>
          <w:szCs w:val="32"/>
        </w:rPr>
        <w:t>创建“服务妇儿·幸福满庭”“宁姐凝心”党建子品牌。栖霞区马群街道地处紫金山东麓，是一个典型的、处于快速城市化进程中的区域，民生诉求从“基本保障”到“品质提升”再到“创新发展”演变，对基层治理的精准性与服务的精细化提出了极高要求。2025年3月，在市妇联党组指导下，在马群街道党工委和市妇儿中心党支部全力支持下，中心携手马群街道妇联共同打造“马群满庭芳·Women学堂”项目，精准锚定家庭服务多元化需求，创造性地开设10门精品课程+10门普惠课程的服务模式。依托中心的优质师资资源，中心党支部为马群街道量身定制十大精品课程，涵盖思想引领、普法维权、家庭教育、文化传承等领域。每一门课程都紧扣女性需求，为辖区女性提供了思想教育、素质提升和情感支持平台，强化了对女性群体的政治引领和组织凝聚。针对马群街道的民生诉求，中心专题研究，在服务过程中创新推出“中心让利一点+街道补贴一点+家庭承担一点”的“三个一点”模式，开设声乐、书法、瑜伽、合唱等十门普惠课程，覆盖“一老一小”全龄段需求，构建“15分钟家庭教育服务圈”，切实减轻家庭教育负担，推动优质校外教育资源向街道和社区延伸。此外，中心还充分发挥地缘优势，与建邺区妇联合作开展“优家学堂”项目，每月定期邀请教育领域权威专家，在月安社区为广大家长开展主题讲座；与乐山路社区、香山路社区、爱达社区合作开展“为民办实事”服务项目，每个社区开展5门书法、国画、合唱等课程。中心将持续优化课程体系与服务机制，推动更多资源下沉，让更多优秀党员教师加入到服务街道和社区的服务中来，为妇女儿童和家庭提供更精准、普惠的高质量服务。</w:t>
      </w:r>
    </w:p>
    <w:p w14:paraId="6AB81438">
      <w:pPr>
        <w:snapToGrid w:val="0"/>
        <w:spacing w:line="520" w:lineRule="exact"/>
        <w:ind w:firstLine="640" w:firstLineChars="200"/>
        <w:rPr>
          <w:rFonts w:hint="eastAsia" w:ascii="仿宋_GB2312" w:hAnsi="仿宋" w:eastAsia="仿宋_GB2312" w:cs="Times New Roman"/>
          <w:color w:val="auto"/>
          <w:sz w:val="32"/>
          <w:szCs w:val="32"/>
          <w:lang w:eastAsia="zh-CN"/>
        </w:rPr>
      </w:pPr>
      <w:r>
        <w:rPr>
          <w:rFonts w:hint="eastAsia" w:ascii="仿宋_GB2312" w:hAnsi="仿宋" w:eastAsia="仿宋_GB2312" w:cs="Times New Roman"/>
          <w:color w:val="auto"/>
          <w:sz w:val="32"/>
          <w:szCs w:val="32"/>
          <w:lang w:val="en-US" w:eastAsia="zh-CN"/>
        </w:rPr>
        <w:t>2、</w:t>
      </w:r>
      <w:r>
        <w:rPr>
          <w:rFonts w:hint="eastAsia" w:ascii="仿宋_GB2312" w:hAnsi="仿宋" w:eastAsia="仿宋_GB2312" w:cs="Times New Roman"/>
          <w:color w:val="auto"/>
          <w:sz w:val="32"/>
          <w:szCs w:val="32"/>
        </w:rPr>
        <w:t>持续开展以“儿童兴趣特长培养</w:t>
      </w:r>
      <w:r>
        <w:rPr>
          <w:rFonts w:hint="eastAsia" w:ascii="仿宋_GB2312" w:hAnsi="仿宋" w:eastAsia="仿宋_GB2312" w:cs="Times New Roman"/>
          <w:color w:val="auto"/>
          <w:sz w:val="32"/>
          <w:szCs w:val="32"/>
          <w:lang w:eastAsia="zh-CN"/>
        </w:rPr>
        <w:t>”“</w:t>
      </w:r>
      <w:r>
        <w:rPr>
          <w:rFonts w:hint="eastAsia" w:ascii="仿宋_GB2312" w:hAnsi="仿宋" w:eastAsia="仿宋_GB2312" w:cs="Times New Roman"/>
          <w:color w:val="auto"/>
          <w:sz w:val="32"/>
          <w:szCs w:val="32"/>
        </w:rPr>
        <w:t>亲子研学</w:t>
      </w:r>
      <w:r>
        <w:rPr>
          <w:rFonts w:hint="eastAsia" w:ascii="仿宋_GB2312" w:hAnsi="仿宋" w:eastAsia="仿宋_GB2312" w:cs="Times New Roman"/>
          <w:color w:val="auto"/>
          <w:sz w:val="32"/>
          <w:szCs w:val="32"/>
          <w:lang w:eastAsia="zh-CN"/>
        </w:rPr>
        <w:t>”“</w:t>
      </w:r>
      <w:r>
        <w:rPr>
          <w:rFonts w:hint="eastAsia" w:ascii="仿宋_GB2312" w:hAnsi="仿宋" w:eastAsia="仿宋_GB2312" w:cs="Times New Roman"/>
          <w:color w:val="auto"/>
          <w:sz w:val="32"/>
          <w:szCs w:val="32"/>
        </w:rPr>
        <w:t>幸福夜校</w:t>
      </w:r>
      <w:r>
        <w:rPr>
          <w:rFonts w:hint="eastAsia" w:ascii="仿宋_GB2312" w:hAnsi="仿宋" w:eastAsia="仿宋_GB2312" w:cs="Times New Roman"/>
          <w:color w:val="auto"/>
          <w:sz w:val="32"/>
          <w:szCs w:val="32"/>
          <w:lang w:eastAsia="zh-CN"/>
        </w:rPr>
        <w:t>”“</w:t>
      </w:r>
      <w:r>
        <w:rPr>
          <w:rFonts w:hint="eastAsia" w:ascii="仿宋_GB2312" w:hAnsi="仿宋" w:eastAsia="仿宋_GB2312" w:cs="Times New Roman"/>
          <w:color w:val="auto"/>
          <w:sz w:val="32"/>
          <w:szCs w:val="32"/>
        </w:rPr>
        <w:t>父母学堂</w:t>
      </w:r>
      <w:r>
        <w:rPr>
          <w:rFonts w:hint="eastAsia" w:ascii="仿宋_GB2312" w:hAnsi="仿宋" w:eastAsia="仿宋_GB2312" w:cs="Times New Roman"/>
          <w:color w:val="auto"/>
          <w:sz w:val="32"/>
          <w:szCs w:val="32"/>
          <w:lang w:eastAsia="zh-CN"/>
        </w:rPr>
        <w:t>”“</w:t>
      </w:r>
      <w:r>
        <w:rPr>
          <w:rFonts w:hint="eastAsia" w:ascii="仿宋_GB2312" w:hAnsi="仿宋" w:eastAsia="仿宋_GB2312" w:cs="Times New Roman"/>
          <w:color w:val="auto"/>
          <w:sz w:val="32"/>
          <w:szCs w:val="32"/>
        </w:rPr>
        <w:t>帼丽课堂</w:t>
      </w:r>
      <w:r>
        <w:rPr>
          <w:rFonts w:hint="eastAsia" w:ascii="仿宋_GB2312" w:hAnsi="仿宋" w:eastAsia="仿宋_GB2312" w:cs="Times New Roman"/>
          <w:color w:val="auto"/>
          <w:sz w:val="32"/>
          <w:szCs w:val="32"/>
          <w:lang w:eastAsia="zh-CN"/>
        </w:rPr>
        <w:t>”“</w:t>
      </w:r>
      <w:r>
        <w:rPr>
          <w:rFonts w:hint="eastAsia" w:ascii="仿宋_GB2312" w:hAnsi="仿宋" w:eastAsia="仿宋_GB2312" w:cs="Times New Roman"/>
          <w:color w:val="auto"/>
          <w:sz w:val="32"/>
          <w:szCs w:val="32"/>
        </w:rPr>
        <w:t>银发学堂”等项目为载体的全年龄段素养提升培训课程。2025年暑期为缓解广大职工子女“看护难”问题，中心积极开办各类暑期夏令营和托管班，服务350多名职工子女。其中既有中心自办的面向社会招募的“我的仲夏梦”暑期托管夏令营，也有和市公安局、市交管局、江苏联通、方天电力等部门和企事业单位合作开办的职工子女暑托班。</w:t>
      </w:r>
    </w:p>
    <w:p w14:paraId="1A6E6784">
      <w:pPr>
        <w:snapToGrid w:val="0"/>
        <w:spacing w:line="520" w:lineRule="exact"/>
        <w:ind w:firstLine="640" w:firstLineChars="200"/>
        <w:rPr>
          <w:rFonts w:hint="eastAsia" w:ascii="仿宋_GB2312" w:hAnsi="仿宋" w:eastAsia="仿宋_GB2312" w:cs="Times New Roman"/>
          <w:color w:val="auto"/>
          <w:sz w:val="32"/>
          <w:szCs w:val="32"/>
        </w:rPr>
      </w:pPr>
      <w:r>
        <w:rPr>
          <w:rFonts w:hint="eastAsia" w:ascii="仿宋_GB2312" w:hAnsi="仿宋" w:eastAsia="仿宋_GB2312" w:cs="Times New Roman"/>
          <w:color w:val="auto"/>
          <w:sz w:val="32"/>
          <w:szCs w:val="32"/>
          <w:lang w:val="en-US" w:eastAsia="zh-CN"/>
        </w:rPr>
        <w:t>3、</w:t>
      </w:r>
      <w:r>
        <w:rPr>
          <w:rFonts w:hint="eastAsia" w:ascii="仿宋_GB2312" w:hAnsi="仿宋" w:eastAsia="仿宋_GB2312" w:cs="Times New Roman"/>
          <w:color w:val="auto"/>
          <w:sz w:val="32"/>
          <w:szCs w:val="32"/>
        </w:rPr>
        <w:t>持续提升教学质量，加强教师队伍建设，完善培训课程体系。开展“守护心灵之窗，追逐梦想之光—南京市少年儿童绘画展”，400多人参加；还联合市关工委、市教育局共同开展“第十七届南京市中小学生科技</w:t>
      </w:r>
      <w:r>
        <w:rPr>
          <w:rFonts w:hint="eastAsia" w:ascii="仿宋_GB2312" w:hAnsi="仿宋" w:eastAsia="仿宋_GB2312" w:cs="Times New Roman"/>
          <w:color w:val="auto"/>
          <w:sz w:val="32"/>
          <w:szCs w:val="32"/>
          <w:lang w:eastAsia="zh-CN"/>
        </w:rPr>
        <w:t>‘</w:t>
      </w:r>
      <w:r>
        <w:rPr>
          <w:rFonts w:hint="eastAsia" w:ascii="仿宋_GB2312" w:hAnsi="仿宋" w:eastAsia="仿宋_GB2312" w:cs="Times New Roman"/>
          <w:color w:val="auto"/>
          <w:sz w:val="32"/>
          <w:szCs w:val="32"/>
        </w:rPr>
        <w:t>四个一</w:t>
      </w:r>
      <w:r>
        <w:rPr>
          <w:rFonts w:hint="eastAsia" w:ascii="仿宋_GB2312" w:hAnsi="仿宋" w:eastAsia="仿宋_GB2312" w:cs="Times New Roman"/>
          <w:color w:val="auto"/>
          <w:sz w:val="32"/>
          <w:szCs w:val="32"/>
          <w:lang w:eastAsia="zh-CN"/>
        </w:rPr>
        <w:t>’</w:t>
      </w:r>
      <w:r>
        <w:rPr>
          <w:rFonts w:hint="eastAsia" w:ascii="仿宋_GB2312" w:hAnsi="仿宋" w:eastAsia="仿宋_GB2312" w:cs="Times New Roman"/>
          <w:color w:val="auto"/>
          <w:sz w:val="32"/>
          <w:szCs w:val="32"/>
        </w:rPr>
        <w:t>创新活动”；联合金陵图书馆共同开展“2025年阅美‘经典撷珍，万物有灵’少儿诗语动物园有声作品征集活动”；6月底在南艺剧场成功举办“花儿绽放与你同行”舞蹈项目专场演出，200多名学员参加演出</w:t>
      </w:r>
      <w:r>
        <w:rPr>
          <w:rFonts w:hint="eastAsia" w:ascii="仿宋_GB2312" w:hAnsi="仿宋" w:eastAsia="仿宋_GB2312" w:cs="Times New Roman"/>
          <w:color w:val="auto"/>
          <w:sz w:val="32"/>
          <w:szCs w:val="32"/>
          <w:lang w:eastAsia="zh-CN"/>
        </w:rPr>
        <w:t>；</w:t>
      </w:r>
      <w:r>
        <w:rPr>
          <w:rFonts w:hint="eastAsia" w:ascii="仿宋_GB2312" w:hAnsi="仿宋" w:eastAsia="仿宋_GB2312" w:cs="Times New Roman"/>
          <w:color w:val="auto"/>
          <w:sz w:val="32"/>
          <w:szCs w:val="32"/>
        </w:rPr>
        <w:t>12月底举办了“时光知味青春不悔”——2025年紫鲸艺术节银发学堂教学成果展演；还携手北京银行南京分行于12月27日在江苏大剧院举办了2026“儿童友好京彩迎新”迎新年音乐会，音乐会分为器乐和声乐两个专场，共有33个优秀节目，400余位小演员参加演出，409组家庭亲临现场观演，线上图片直播浏览量约14万人次，共同见证了孩子们用音乐编织的新年梦想！</w:t>
      </w:r>
    </w:p>
    <w:p w14:paraId="52C87793">
      <w:pPr>
        <w:snapToGrid w:val="0"/>
        <w:spacing w:line="520" w:lineRule="exact"/>
        <w:ind w:firstLine="640" w:firstLineChars="200"/>
        <w:rPr>
          <w:rFonts w:hint="eastAsia" w:ascii="仿宋_GB2312" w:hAnsi="仿宋" w:eastAsia="仿宋_GB2312" w:cs="Times New Roman"/>
          <w:color w:val="auto"/>
          <w:sz w:val="32"/>
          <w:szCs w:val="32"/>
        </w:rPr>
      </w:pPr>
      <w:r>
        <w:rPr>
          <w:rFonts w:hint="eastAsia" w:ascii="仿宋_GB2312" w:hAnsi="仿宋" w:eastAsia="仿宋_GB2312" w:cs="Times New Roman"/>
          <w:color w:val="auto"/>
          <w:sz w:val="32"/>
          <w:szCs w:val="32"/>
          <w:lang w:val="en-US" w:eastAsia="zh-CN"/>
        </w:rPr>
        <w:t>4、</w:t>
      </w:r>
      <w:r>
        <w:rPr>
          <w:rFonts w:hint="eastAsia" w:ascii="仿宋_GB2312" w:hAnsi="仿宋" w:eastAsia="仿宋_GB2312" w:cs="Times New Roman"/>
          <w:color w:val="auto"/>
          <w:sz w:val="32"/>
          <w:szCs w:val="32"/>
        </w:rPr>
        <w:t>继续开展“公益课程进校园”润心行动。2025年提供声乐、器乐、舞蹈、美术、书法、语言、非遗、象棋、科技等30余门课程供全市各中小学选择，服务全市40所中小学、幼儿园，为2000余人次少年儿童提供课后服务，助力全市“双减”工作。我们在“润心行动”公益课程进校园的基础上，打造“校内外协同育人生态圈”，成功与南京市第一中学江北新区分校、南师附中新城小学南校区、南湖三小、江山小学、南湖二中等多所学校共建收费性特色社团，10月份中心的25个服务项目成功入选南京市鼓楼区第三方机构参与义务教育阶段学校课后服务备选库，实现了公益服务社会购买的目标任务，实现了社会效益与经济效益同步增长。</w:t>
      </w:r>
    </w:p>
    <w:p w14:paraId="0C3C5B78">
      <w:pPr>
        <w:snapToGrid w:val="0"/>
        <w:spacing w:line="520" w:lineRule="exact"/>
        <w:ind w:firstLine="640" w:firstLineChars="200"/>
        <w:rPr>
          <w:rFonts w:hint="eastAsia" w:ascii="仿宋_GB2312" w:hAnsi="仿宋" w:eastAsia="仿宋_GB2312" w:cs="Times New Roman"/>
          <w:color w:val="auto"/>
          <w:sz w:val="32"/>
          <w:szCs w:val="32"/>
        </w:rPr>
      </w:pPr>
      <w:r>
        <w:rPr>
          <w:rFonts w:hint="eastAsia" w:ascii="仿宋_GB2312" w:hAnsi="仿宋" w:eastAsia="仿宋_GB2312" w:cs="Times New Roman"/>
          <w:color w:val="auto"/>
          <w:sz w:val="32"/>
          <w:szCs w:val="32"/>
          <w:lang w:val="en-US" w:eastAsia="zh-CN"/>
        </w:rPr>
        <w:t>5、</w:t>
      </w:r>
      <w:r>
        <w:rPr>
          <w:rFonts w:hint="eastAsia" w:ascii="仿宋_GB2312" w:hAnsi="仿宋" w:eastAsia="仿宋_GB2312" w:cs="Times New Roman"/>
          <w:color w:val="auto"/>
          <w:sz w:val="32"/>
          <w:szCs w:val="32"/>
        </w:rPr>
        <w:t>持续打造“紫鲸”品牌。加大“紫鲸”少儿合唱团、弦乐团、舞蹈团、科学社等公益社团建设力度。重点加强“紫金草艺术团”建设，3月底中日紫金草交流合唱音乐会，用歌声唱响和平愿望，让历史的记忆在两国民众心中传递，让和平的薪火代代相传；邀请中国音乐学院教授、中国音乐家协会合唱联盟副主席娅伦格日勒教授、中国音乐学院指挥系合唱指挥专业硕士谷士成来中心开展大师课；7月中心“紫金草童声合唱团”参加“铭记历史·共筑和平”——中日青少年音乐交流活动，与日本爱知县“令和遣中使”青少年友好访华团合作演出，中日两国的青少年以音乐为纽带，用旋律传递对历史的思考、对未来的期许；9月3日参加侵华日军南京大屠杀遇难同胞纪念馆举办的中国人民抗日战争暨世界反法西斯战争胜利80周年纪念日“铭记历史珍爱和平”主题教育活动，在庄重的仪式中筑牢民族记忆，激荡家国情怀。</w:t>
      </w:r>
    </w:p>
    <w:p w14:paraId="7476A874">
      <w:pPr>
        <w:snapToGrid w:val="0"/>
        <w:spacing w:line="520" w:lineRule="exact"/>
        <w:ind w:firstLine="640" w:firstLineChars="200"/>
        <w:rPr>
          <w:rFonts w:hint="eastAsia" w:ascii="仿宋_GB2312" w:hAnsi="仿宋" w:eastAsia="仿宋_GB2312" w:cs="Times New Roman"/>
          <w:color w:val="auto"/>
          <w:sz w:val="32"/>
          <w:szCs w:val="32"/>
        </w:rPr>
      </w:pPr>
      <w:r>
        <w:rPr>
          <w:rFonts w:hint="eastAsia" w:ascii="仿宋_GB2312" w:hAnsi="仿宋" w:eastAsia="仿宋_GB2312" w:cs="Times New Roman"/>
          <w:color w:val="auto"/>
          <w:sz w:val="32"/>
          <w:szCs w:val="32"/>
          <w:lang w:val="en-US" w:eastAsia="zh-CN"/>
        </w:rPr>
        <w:t>6、</w:t>
      </w:r>
      <w:r>
        <w:rPr>
          <w:rFonts w:hint="eastAsia" w:ascii="仿宋_GB2312" w:hAnsi="仿宋" w:eastAsia="仿宋_GB2312" w:cs="Times New Roman"/>
          <w:color w:val="auto"/>
          <w:sz w:val="32"/>
          <w:szCs w:val="32"/>
        </w:rPr>
        <w:t>2025年中心“妇儿服务部”在全市各级妇联组织的指导和支持下，先后开展和承办了“宁家美・慧学江北</w:t>
      </w:r>
      <w:r>
        <w:rPr>
          <w:rFonts w:hint="eastAsia" w:ascii="仿宋_GB2312" w:hAnsi="仿宋" w:eastAsia="仿宋_GB2312" w:cs="Times New Roman"/>
          <w:color w:val="auto"/>
          <w:sz w:val="32"/>
          <w:szCs w:val="32"/>
          <w:lang w:eastAsia="zh-CN"/>
        </w:rPr>
        <w:t>”“</w:t>
      </w:r>
      <w:r>
        <w:rPr>
          <w:rFonts w:hint="eastAsia" w:ascii="仿宋_GB2312" w:hAnsi="仿宋" w:eastAsia="仿宋_GB2312" w:cs="Times New Roman"/>
          <w:color w:val="auto"/>
          <w:sz w:val="32"/>
          <w:szCs w:val="32"/>
        </w:rPr>
        <w:t>市妇联家教指导大巡讲”、栖霞区家教指导巡讲、“邺姐姐美好生活工作坊</w:t>
      </w:r>
      <w:r>
        <w:rPr>
          <w:rFonts w:hint="eastAsia" w:ascii="仿宋_GB2312" w:hAnsi="仿宋" w:eastAsia="仿宋_GB2312" w:cs="Times New Roman"/>
          <w:color w:val="auto"/>
          <w:sz w:val="32"/>
          <w:szCs w:val="32"/>
          <w:lang w:eastAsia="zh-CN"/>
        </w:rPr>
        <w:t>”“</w:t>
      </w:r>
      <w:r>
        <w:rPr>
          <w:rFonts w:hint="eastAsia" w:ascii="仿宋_GB2312" w:hAnsi="仿宋" w:eastAsia="仿宋_GB2312" w:cs="Times New Roman"/>
          <w:color w:val="auto"/>
          <w:sz w:val="32"/>
          <w:szCs w:val="32"/>
        </w:rPr>
        <w:t>宁姐月嫂”、“加油新手妈妈</w:t>
      </w:r>
      <w:r>
        <w:rPr>
          <w:rFonts w:hint="eastAsia" w:ascii="仿宋_GB2312" w:hAnsi="仿宋" w:eastAsia="仿宋_GB2312" w:cs="Times New Roman"/>
          <w:color w:val="auto"/>
          <w:sz w:val="32"/>
          <w:szCs w:val="32"/>
          <w:lang w:eastAsia="zh-CN"/>
        </w:rPr>
        <w:t>”“</w:t>
      </w:r>
      <w:r>
        <w:rPr>
          <w:rFonts w:hint="eastAsia" w:ascii="仿宋_GB2312" w:hAnsi="仿宋" w:eastAsia="仿宋_GB2312" w:cs="Times New Roman"/>
          <w:color w:val="auto"/>
          <w:sz w:val="32"/>
          <w:szCs w:val="32"/>
        </w:rPr>
        <w:t>为爱倾城”“帼丽课堂”等项目活动，全年共开展活动100多场，服务5800多人次。</w:t>
      </w:r>
    </w:p>
    <w:p w14:paraId="1A50E3B5">
      <w:pPr>
        <w:snapToGrid w:val="0"/>
        <w:spacing w:line="520" w:lineRule="exact"/>
        <w:ind w:firstLine="640" w:firstLineChars="200"/>
        <w:rPr>
          <w:rFonts w:hint="eastAsia" w:ascii="仿宋_GB2312" w:hAnsi="仿宋" w:eastAsia="仿宋_GB2312" w:cs="Times New Roman"/>
          <w:color w:val="auto"/>
          <w:sz w:val="32"/>
          <w:szCs w:val="32"/>
        </w:rPr>
      </w:pPr>
      <w:r>
        <w:rPr>
          <w:rFonts w:hint="eastAsia" w:ascii="仿宋_GB2312" w:hAnsi="仿宋" w:eastAsia="仿宋_GB2312" w:cs="Times New Roman"/>
          <w:color w:val="auto"/>
          <w:sz w:val="32"/>
          <w:szCs w:val="32"/>
          <w:lang w:val="en-US" w:eastAsia="zh-CN"/>
        </w:rPr>
        <w:t>7、</w:t>
      </w:r>
      <w:r>
        <w:rPr>
          <w:rFonts w:hint="eastAsia" w:ascii="仿宋_GB2312" w:hAnsi="仿宋" w:eastAsia="仿宋_GB2312" w:cs="Times New Roman"/>
          <w:color w:val="auto"/>
          <w:sz w:val="32"/>
          <w:szCs w:val="32"/>
        </w:rPr>
        <w:t>成功举办第十三届“我的中国梦”南京市少儿才艺展演、南京市义务教育阶段“五小”评比活动、“和鸣8.0”金陵杯中小学生科技创意制作挑战</w:t>
      </w:r>
      <w:r>
        <w:rPr>
          <w:rFonts w:hint="eastAsia" w:ascii="仿宋_GB2312" w:hAnsi="仿宋" w:eastAsia="仿宋_GB2312" w:cs="Times New Roman"/>
          <w:color w:val="auto"/>
          <w:sz w:val="32"/>
          <w:szCs w:val="32"/>
          <w:lang w:val="en-US" w:eastAsia="zh-CN"/>
        </w:rPr>
        <w:t>活动</w:t>
      </w:r>
      <w:r>
        <w:rPr>
          <w:rFonts w:hint="eastAsia" w:ascii="仿宋_GB2312" w:hAnsi="仿宋" w:eastAsia="仿宋_GB2312" w:cs="Times New Roman"/>
          <w:color w:val="auto"/>
          <w:sz w:val="32"/>
          <w:szCs w:val="32"/>
        </w:rPr>
        <w:t>、第三届“小小民生观察员”社会实践活动等公益品牌活动。其中“我的中国梦”才艺展演历时5个月，参与人数20000余人，共有378个集体节目，79个课堂小乐器合奏，共举办线下</w:t>
      </w:r>
      <w:r>
        <w:rPr>
          <w:rFonts w:hint="eastAsia" w:ascii="仿宋_GB2312" w:hAnsi="仿宋" w:eastAsia="仿宋_GB2312" w:cs="Times New Roman"/>
          <w:color w:val="auto"/>
          <w:sz w:val="32"/>
          <w:szCs w:val="32"/>
          <w:lang w:val="en-US" w:eastAsia="zh-CN"/>
        </w:rPr>
        <w:t>活动</w:t>
      </w:r>
      <w:r>
        <w:rPr>
          <w:rFonts w:hint="eastAsia" w:ascii="仿宋_GB2312" w:hAnsi="仿宋" w:eastAsia="仿宋_GB2312" w:cs="Times New Roman"/>
          <w:color w:val="auto"/>
          <w:sz w:val="32"/>
          <w:szCs w:val="32"/>
        </w:rPr>
        <w:t>72场；配合市妇联开展“儿童友好与宁同行”公益研学26场，利用暑期时间带领全市1000名少年儿童走进儿童友好社区、街区，试点单位共5条线路，沉浸式感受儿童友好城市的建设成果；完成第三届南京市“小小民生观察员”社会实践活动，收到建议3776份，评选出优秀建议200份；“喜迎中国年互动乐翻天”——2025’南京市少年儿童迎新春公益嘉年华活动共有来自全市各区的300多名小朋友和家长参加，活动现场其乐融融，年味儿十足，公益市集所得收入均捐献至江苏省妇女儿童基金会。品牌活动的成功举办，进一步扩大中心影响力。</w:t>
      </w:r>
    </w:p>
    <w:p w14:paraId="0A85403D">
      <w:pPr>
        <w:snapToGrid w:val="0"/>
        <w:spacing w:line="520" w:lineRule="exact"/>
        <w:ind w:firstLine="640" w:firstLineChars="200"/>
        <w:rPr>
          <w:rFonts w:hint="eastAsia" w:ascii="仿宋_GB2312" w:hAnsi="仿宋" w:eastAsia="仿宋_GB2312" w:cs="Times New Roman"/>
          <w:color w:val="auto"/>
          <w:sz w:val="32"/>
          <w:szCs w:val="32"/>
        </w:rPr>
      </w:pPr>
      <w:r>
        <w:rPr>
          <w:rFonts w:hint="eastAsia" w:ascii="仿宋_GB2312" w:hAnsi="仿宋" w:eastAsia="仿宋_GB2312" w:cs="Times New Roman"/>
          <w:color w:val="auto"/>
          <w:sz w:val="32"/>
          <w:szCs w:val="32"/>
          <w:lang w:val="en-US" w:eastAsia="zh-CN"/>
        </w:rPr>
        <w:t>8、</w:t>
      </w:r>
      <w:r>
        <w:rPr>
          <w:rFonts w:hint="eastAsia" w:ascii="仿宋_GB2312" w:hAnsi="仿宋" w:eastAsia="仿宋_GB2312" w:cs="Times New Roman"/>
          <w:color w:val="auto"/>
          <w:sz w:val="32"/>
          <w:szCs w:val="32"/>
        </w:rPr>
        <w:t>承办“庆‘六一’儿童友好嘉年华”活动，在市妇联等部门指导下，吸引260余组家庭参与，通过12项沉浸式体验、爱心市集、“小梧桐”微心愿等环节，为儿童打造欢乐温暖的节日场景；中心学员还受邀参加北京卫视六一晚会演出，受到有关领导的充分肯定；10月18日中心组织的300名学员受邀参与“苏超”半决赛南京与泰州的赛前演出，中心教师精心准备，演出团队精彩亮相，孩子们以童真的嗓音合唱《金陵谣</w:t>
      </w:r>
      <w:r>
        <w:rPr>
          <w:rFonts w:hint="eastAsia" w:ascii="仿宋_GB2312" w:hAnsi="仿宋" w:eastAsia="仿宋_GB2312" w:cs="Times New Roman"/>
          <w:color w:val="auto"/>
          <w:sz w:val="32"/>
          <w:szCs w:val="32"/>
          <w:lang w:eastAsia="zh-CN"/>
        </w:rPr>
        <w:t>》《</w:t>
      </w:r>
      <w:r>
        <w:rPr>
          <w:rFonts w:hint="eastAsia" w:ascii="仿宋_GB2312" w:hAnsi="仿宋" w:eastAsia="仿宋_GB2312" w:cs="Times New Roman"/>
          <w:color w:val="auto"/>
          <w:sz w:val="32"/>
          <w:szCs w:val="32"/>
        </w:rPr>
        <w:t>我是未来》，以“小小茉莉花”的甘甜形象，巧妙地将玄武湖、阅江楼、雨花台、中山陵等南京地标串联起来，再以“金陵好娃娃”的纯真视角，将城市深厚的历史底蕴与孩子们的生动活力相融合，绘制出一幅属于南京的“友好长卷”传递青春梦想，将现场气氛推向了高潮，让6万余名现场观众在感受足球激情的同时，沉浸式体验南京儿童友好城市建设的鲜活成果。</w:t>
      </w:r>
    </w:p>
    <w:p w14:paraId="07650003">
      <w:pPr>
        <w:snapToGrid w:val="0"/>
        <w:spacing w:line="520" w:lineRule="exact"/>
        <w:ind w:firstLine="640" w:firstLineChars="200"/>
        <w:rPr>
          <w:rFonts w:hint="eastAsia" w:ascii="仿宋_GB2312" w:hAnsi="仿宋" w:eastAsia="仿宋_GB2312" w:cs="Times New Roman"/>
          <w:color w:val="auto"/>
          <w:sz w:val="32"/>
          <w:szCs w:val="32"/>
        </w:rPr>
      </w:pPr>
      <w:r>
        <w:rPr>
          <w:rFonts w:hint="eastAsia" w:ascii="仿宋_GB2312" w:hAnsi="仿宋" w:eastAsia="仿宋_GB2312" w:cs="Times New Roman"/>
          <w:color w:val="auto"/>
          <w:sz w:val="32"/>
          <w:szCs w:val="32"/>
          <w:lang w:val="en-US" w:eastAsia="zh-CN"/>
        </w:rPr>
        <w:t>9、</w:t>
      </w:r>
      <w:r>
        <w:rPr>
          <w:rFonts w:hint="eastAsia" w:ascii="仿宋_GB2312" w:hAnsi="仿宋" w:eastAsia="仿宋_GB2312" w:cs="Times New Roman"/>
          <w:color w:val="auto"/>
          <w:sz w:val="32"/>
          <w:szCs w:val="32"/>
        </w:rPr>
        <w:t>强化安全生产意识，建立和完善相关安全制度，定期开展安全检查，进行消防安全培训和演练，守住安全底线；对中心的相关场地和教室进行布局调整、维修出新，增设了体适能教室、乒乓球教室、少儿篮球馆等体育场馆；做好绿植的日常养护，优化停车场地布局，增设室外非机动车停车棚，施划交通标线，对损坏的地板、瓷砖、路牙石、设施设备及时进行更换维修，及时清洗公共过道和电梯轿厢空调，给家长、学员营造舒适的环境氛围；同时，各楼层卫生间配备了擦手纸、抽纸、洗手液，电梯厅配备了免洗消毒液，增加便民举措，增强服务意识；严格落实过紧日子的要求，在广大职工间树立勤俭节约和反对浪费的意识，不断改进工作作风。</w:t>
      </w:r>
    </w:p>
    <w:p w14:paraId="73957DE7">
      <w:pPr>
        <w:adjustRightInd w:val="0"/>
        <w:snapToGrid w:val="0"/>
        <w:spacing w:line="560" w:lineRule="exact"/>
        <w:ind w:firstLine="640" w:firstLineChars="200"/>
        <w:outlineLvl w:val="0"/>
        <w:rPr>
          <w:rFonts w:hint="eastAsia" w:ascii="黑体" w:hAnsi="黑体" w:eastAsia="黑体" w:cs="黑体"/>
          <w:color w:val="auto"/>
          <w:sz w:val="32"/>
          <w:szCs w:val="32"/>
        </w:rPr>
      </w:pPr>
      <w:r>
        <w:rPr>
          <w:rFonts w:hint="eastAsia" w:ascii="黑体" w:hAnsi="黑体" w:eastAsia="黑体" w:cs="黑体"/>
          <w:color w:val="auto"/>
          <w:sz w:val="32"/>
          <w:szCs w:val="32"/>
        </w:rPr>
        <w:t>四、存在问题及原因分析</w:t>
      </w:r>
      <w:bookmarkEnd w:id="17"/>
    </w:p>
    <w:p w14:paraId="78D2EAAC">
      <w:pPr>
        <w:shd w:val="clear"/>
        <w:snapToGrid w:val="0"/>
        <w:spacing w:line="520" w:lineRule="exact"/>
        <w:ind w:firstLine="684" w:firstLineChars="200"/>
        <w:rPr>
          <w:rFonts w:hint="eastAsia" w:ascii="仿宋_GB2312" w:hAnsi="仿宋" w:eastAsia="仿宋_GB2312" w:cs="Times New Roman"/>
          <w:color w:val="auto"/>
          <w:sz w:val="32"/>
          <w:szCs w:val="32"/>
          <w:highlight w:val="none"/>
          <w:lang w:val="en-US" w:eastAsia="zh-CN"/>
        </w:rPr>
      </w:pPr>
      <w:bookmarkStart w:id="18" w:name="_Toc46246278"/>
      <w:bookmarkStart w:id="19" w:name="_Toc17355"/>
      <w:r>
        <w:rPr>
          <w:rFonts w:hint="eastAsia" w:ascii="方正仿宋简体" w:hAnsi="方正仿宋简体" w:eastAsia="方正仿宋简体" w:cs="方正仿宋简体"/>
          <w:color w:val="auto"/>
          <w:spacing w:val="11"/>
          <w:sz w:val="32"/>
          <w:szCs w:val="32"/>
          <w:highlight w:val="none"/>
          <w:shd w:val="clear" w:color="auto" w:fill="FFFFFF"/>
          <w:lang w:val="en-US" w:eastAsia="zh-CN"/>
        </w:rPr>
        <w:t>本次绩效考评中主要存在</w:t>
      </w:r>
      <w:r>
        <w:rPr>
          <w:rFonts w:hint="eastAsia" w:ascii="方正仿宋简体" w:hAnsi="方正仿宋简体" w:eastAsia="方正仿宋简体" w:cs="方正仿宋简体"/>
          <w:color w:val="auto"/>
          <w:spacing w:val="11"/>
          <w:sz w:val="32"/>
          <w:szCs w:val="32"/>
          <w:highlight w:val="none"/>
          <w:shd w:val="clear" w:color="auto" w:fill="FFFFFF"/>
        </w:rPr>
        <w:t>绩效指标设定科学性、准确性、全面性不够</w:t>
      </w:r>
      <w:bookmarkEnd w:id="18"/>
      <w:bookmarkEnd w:id="19"/>
      <w:r>
        <w:rPr>
          <w:rFonts w:hint="eastAsia" w:ascii="方正仿宋简体" w:hAnsi="方正仿宋简体" w:eastAsia="方正仿宋简体" w:cs="方正仿宋简体"/>
          <w:color w:val="auto"/>
          <w:spacing w:val="11"/>
          <w:sz w:val="32"/>
          <w:szCs w:val="32"/>
          <w:highlight w:val="none"/>
          <w:shd w:val="clear" w:color="auto" w:fill="FFFFFF"/>
          <w:lang w:eastAsia="zh-CN"/>
        </w:rPr>
        <w:t>的</w:t>
      </w:r>
      <w:r>
        <w:rPr>
          <w:rFonts w:hint="eastAsia" w:ascii="方正仿宋简体" w:hAnsi="方正仿宋简体" w:eastAsia="方正仿宋简体" w:cs="方正仿宋简体"/>
          <w:color w:val="auto"/>
          <w:spacing w:val="11"/>
          <w:sz w:val="32"/>
          <w:szCs w:val="32"/>
          <w:highlight w:val="none"/>
          <w:shd w:val="clear" w:color="auto" w:fill="FFFFFF"/>
          <w:lang w:val="en-US" w:eastAsia="zh-CN"/>
        </w:rPr>
        <w:t>问题，针对此项问题，</w:t>
      </w:r>
      <w:bookmarkStart w:id="20" w:name="_Toc46246279"/>
      <w:bookmarkStart w:id="21" w:name="_Toc29761"/>
      <w:r>
        <w:rPr>
          <w:rFonts w:hint="eastAsia" w:ascii="方正仿宋简体" w:hAnsi="方正仿宋简体" w:eastAsia="方正仿宋简体" w:cs="方正仿宋简体"/>
          <w:color w:val="auto"/>
          <w:spacing w:val="11"/>
          <w:sz w:val="32"/>
          <w:szCs w:val="32"/>
          <w:highlight w:val="none"/>
          <w:shd w:val="clear" w:color="auto" w:fill="FFFFFF"/>
        </w:rPr>
        <w:t>我单位虽然在不断优化指标设置的科学性、准确性，但</w:t>
      </w:r>
      <w:r>
        <w:rPr>
          <w:rFonts w:hint="eastAsia" w:ascii="方正仿宋简体" w:hAnsi="方正仿宋简体" w:eastAsia="方正仿宋简体" w:cs="方正仿宋简体"/>
          <w:color w:val="auto"/>
          <w:spacing w:val="11"/>
          <w:sz w:val="32"/>
          <w:szCs w:val="32"/>
          <w:highlight w:val="none"/>
          <w:shd w:val="clear" w:color="auto" w:fill="FFFFFF"/>
          <w:lang w:eastAsia="zh-CN"/>
        </w:rPr>
        <w:t>在</w:t>
      </w:r>
      <w:r>
        <w:rPr>
          <w:rFonts w:hint="eastAsia" w:ascii="仿宋_GB2312" w:hAnsi="仿宋" w:eastAsia="仿宋_GB2312" w:cs="Times New Roman"/>
          <w:color w:val="auto"/>
          <w:sz w:val="32"/>
          <w:szCs w:val="32"/>
          <w:highlight w:val="none"/>
          <w:lang w:val="en-US" w:eastAsia="zh-CN"/>
        </w:rPr>
        <w:t>指标顶层设计上统筹谋划不足</w:t>
      </w:r>
      <w:bookmarkEnd w:id="20"/>
      <w:bookmarkEnd w:id="21"/>
      <w:bookmarkStart w:id="22" w:name="_Toc178059784"/>
      <w:r>
        <w:rPr>
          <w:rFonts w:hint="eastAsia" w:ascii="仿宋_GB2312" w:hAnsi="仿宋" w:eastAsia="仿宋_GB2312" w:cs="Times New Roman"/>
          <w:color w:val="auto"/>
          <w:sz w:val="32"/>
          <w:szCs w:val="32"/>
          <w:highlight w:val="none"/>
          <w:lang w:val="en-US" w:eastAsia="zh-CN"/>
        </w:rPr>
        <w:t>，部分定性指标量化标准不够细化，部分指标仅覆盖常规业务板块，对特色创新工作、跨部门协同类工作反映不足，指标数据归集、动态跟踪机制不够完善，难以全面、客观反映全年履职全貌，绩效指标对业务工作的导向、衡量作用未能充分发挥。</w:t>
      </w:r>
    </w:p>
    <w:p w14:paraId="08AAD342">
      <w:pPr>
        <w:adjustRightInd w:val="0"/>
        <w:snapToGrid w:val="0"/>
        <w:spacing w:line="560" w:lineRule="exact"/>
        <w:ind w:firstLine="640" w:firstLineChars="200"/>
        <w:outlineLvl w:val="0"/>
        <w:rPr>
          <w:rFonts w:hint="eastAsia" w:ascii="黑体" w:hAnsi="黑体" w:eastAsia="黑体" w:cs="黑体"/>
          <w:color w:val="auto"/>
          <w:sz w:val="32"/>
          <w:szCs w:val="32"/>
        </w:rPr>
      </w:pPr>
      <w:r>
        <w:rPr>
          <w:rFonts w:hint="eastAsia" w:ascii="黑体" w:hAnsi="黑体" w:eastAsia="黑体" w:cs="黑体"/>
          <w:color w:val="auto"/>
          <w:sz w:val="32"/>
          <w:szCs w:val="32"/>
        </w:rPr>
        <w:t>五、有关建议</w:t>
      </w:r>
      <w:bookmarkEnd w:id="22"/>
    </w:p>
    <w:p w14:paraId="54C1BBCF">
      <w:pPr>
        <w:adjustRightInd w:val="0"/>
        <w:snapToGrid w:val="0"/>
        <w:spacing w:line="560" w:lineRule="exact"/>
        <w:ind w:firstLine="684" w:firstLineChars="200"/>
        <w:outlineLvl w:val="0"/>
        <w:rPr>
          <w:rFonts w:hint="eastAsia" w:ascii="方正仿宋简体" w:hAnsi="方正仿宋简体" w:eastAsia="方正仿宋简体" w:cs="方正仿宋简体"/>
          <w:color w:val="auto"/>
          <w:spacing w:val="11"/>
          <w:sz w:val="32"/>
          <w:szCs w:val="32"/>
          <w:highlight w:val="none"/>
          <w:shd w:val="clear" w:color="auto" w:fill="FFFFFF"/>
          <w:lang w:val="en-US" w:eastAsia="zh-CN"/>
        </w:rPr>
      </w:pPr>
      <w:bookmarkStart w:id="23" w:name="_Toc178059785"/>
      <w:r>
        <w:rPr>
          <w:rFonts w:hint="eastAsia" w:ascii="方正仿宋简体" w:hAnsi="方正仿宋简体" w:eastAsia="方正仿宋简体" w:cs="方正仿宋简体"/>
          <w:color w:val="auto"/>
          <w:spacing w:val="11"/>
          <w:sz w:val="32"/>
          <w:szCs w:val="32"/>
          <w:highlight w:val="none"/>
          <w:shd w:val="clear" w:color="auto" w:fill="FFFFFF"/>
          <w:lang w:val="en-US" w:eastAsia="zh-CN"/>
        </w:rPr>
        <w:t>根据</w:t>
      </w:r>
      <w:r>
        <w:rPr>
          <w:rFonts w:hint="eastAsia" w:ascii="方正仿宋简体" w:hAnsi="方正仿宋简体" w:eastAsia="方正仿宋简体" w:cs="方正仿宋简体"/>
          <w:color w:val="auto"/>
          <w:spacing w:val="11"/>
          <w:sz w:val="32"/>
          <w:szCs w:val="32"/>
          <w:highlight w:val="none"/>
          <w:shd w:val="clear" w:color="auto" w:fill="FFFFFF"/>
        </w:rPr>
        <w:t>政策要求、发展需要</w:t>
      </w:r>
      <w:r>
        <w:rPr>
          <w:rFonts w:hint="eastAsia" w:ascii="方正仿宋简体" w:hAnsi="方正仿宋简体" w:eastAsia="方正仿宋简体" w:cs="方正仿宋简体"/>
          <w:color w:val="auto"/>
          <w:spacing w:val="11"/>
          <w:sz w:val="32"/>
          <w:szCs w:val="32"/>
          <w:highlight w:val="none"/>
          <w:shd w:val="clear" w:color="auto" w:fill="FFFFFF"/>
          <w:lang w:eastAsia="zh-CN"/>
        </w:rPr>
        <w:t>，</w:t>
      </w:r>
      <w:r>
        <w:rPr>
          <w:rFonts w:hint="eastAsia" w:ascii="方正仿宋简体" w:hAnsi="方正仿宋简体" w:eastAsia="方正仿宋简体" w:cs="方正仿宋简体"/>
          <w:color w:val="auto"/>
          <w:spacing w:val="11"/>
          <w:sz w:val="32"/>
          <w:szCs w:val="32"/>
          <w:highlight w:val="none"/>
          <w:shd w:val="clear" w:color="auto" w:fill="FFFFFF"/>
          <w:lang w:val="en-US" w:eastAsia="zh-CN"/>
        </w:rPr>
        <w:t>立足</w:t>
      </w:r>
      <w:r>
        <w:rPr>
          <w:rFonts w:hint="eastAsia" w:ascii="方正仿宋简体" w:hAnsi="方正仿宋简体" w:eastAsia="方正仿宋简体" w:cs="方正仿宋简体"/>
          <w:color w:val="auto"/>
          <w:spacing w:val="11"/>
          <w:sz w:val="32"/>
          <w:szCs w:val="32"/>
          <w:highlight w:val="none"/>
          <w:shd w:val="clear" w:color="auto" w:fill="FFFFFF"/>
        </w:rPr>
        <w:t>部门“三定”方案做好绩效指标规划，深度梳理、细化分解履职事项，结合年度工作重点任务、目标，构建更为科学、准确、全面的绩效指标体系，提升绩效指标与年度目标、重点工作的匹配</w:t>
      </w:r>
      <w:r>
        <w:rPr>
          <w:rFonts w:hint="eastAsia" w:ascii="方正仿宋简体" w:hAnsi="方正仿宋简体" w:eastAsia="方正仿宋简体" w:cs="方正仿宋简体"/>
          <w:color w:val="auto"/>
          <w:spacing w:val="11"/>
          <w:sz w:val="32"/>
          <w:szCs w:val="32"/>
          <w:highlight w:val="none"/>
          <w:shd w:val="clear" w:color="auto" w:fill="FFFFFF"/>
          <w:lang w:eastAsia="zh-CN"/>
        </w:rPr>
        <w:t>，</w:t>
      </w:r>
      <w:r>
        <w:rPr>
          <w:rFonts w:hint="eastAsia" w:ascii="方正仿宋简体" w:hAnsi="方正仿宋简体" w:eastAsia="方正仿宋简体" w:cs="方正仿宋简体"/>
          <w:color w:val="auto"/>
          <w:spacing w:val="11"/>
          <w:sz w:val="32"/>
          <w:szCs w:val="32"/>
          <w:highlight w:val="none"/>
          <w:shd w:val="clear" w:color="auto" w:fill="FFFFFF"/>
          <w:lang w:val="en-US" w:eastAsia="zh-CN"/>
        </w:rPr>
        <w:t>完善指标与实际业务的契合度，充分发挥绩效指标考核引领作用。</w:t>
      </w:r>
    </w:p>
    <w:p w14:paraId="3CCDC154">
      <w:pPr>
        <w:adjustRightInd w:val="0"/>
        <w:snapToGrid w:val="0"/>
        <w:spacing w:line="560" w:lineRule="exact"/>
        <w:ind w:firstLine="640" w:firstLineChars="200"/>
        <w:outlineLvl w:val="0"/>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六、评价工作开展情况及其他需说明的情况</w:t>
      </w:r>
      <w:bookmarkEnd w:id="23"/>
    </w:p>
    <w:p w14:paraId="0FE62A48">
      <w:pPr>
        <w:pStyle w:val="24"/>
        <w:spacing w:after="0"/>
        <w:ind w:firstLine="641"/>
        <w:jc w:val="both"/>
        <w:rPr>
          <w:rFonts w:eastAsia="方正仿宋简体"/>
          <w:b/>
          <w:bCs/>
          <w:color w:val="auto"/>
          <w:szCs w:val="32"/>
          <w:lang w:eastAsia="zh-CN"/>
        </w:rPr>
      </w:pPr>
      <w:bookmarkStart w:id="24" w:name="_Toc178059786"/>
      <w:r>
        <w:rPr>
          <w:rFonts w:hint="eastAsia" w:ascii="楷体" w:hAnsi="楷体" w:eastAsia="楷体" w:cs="楷体"/>
          <w:color w:val="auto"/>
          <w:sz w:val="32"/>
          <w:szCs w:val="32"/>
        </w:rPr>
        <w:t>（一）</w:t>
      </w:r>
      <w:bookmarkEnd w:id="24"/>
      <w:r>
        <w:rPr>
          <w:rFonts w:eastAsia="方正仿宋简体"/>
          <w:b/>
          <w:bCs/>
          <w:color w:val="auto"/>
          <w:szCs w:val="32"/>
          <w:lang w:eastAsia="zh-CN"/>
        </w:rPr>
        <w:t>评价思路及方法</w:t>
      </w:r>
    </w:p>
    <w:p w14:paraId="7C75F2F3">
      <w:pPr>
        <w:spacing w:line="560" w:lineRule="exact"/>
        <w:ind w:firstLine="640" w:firstLineChars="200"/>
        <w:rPr>
          <w:rFonts w:hint="eastAsia" w:ascii="方正仿宋简体" w:hAnsi="方正仿宋简体" w:eastAsia="方正仿宋简体" w:cs="方正仿宋简体"/>
          <w:color w:val="auto"/>
          <w:sz w:val="32"/>
          <w:szCs w:val="32"/>
        </w:rPr>
      </w:pPr>
      <w:r>
        <w:rPr>
          <w:rFonts w:hint="eastAsia" w:ascii="方正仿宋简体" w:hAnsi="方正仿宋简体" w:eastAsia="方正仿宋简体" w:cs="方正仿宋简体"/>
          <w:color w:val="auto"/>
          <w:sz w:val="32"/>
          <w:szCs w:val="32"/>
        </w:rPr>
        <w:t>我单位根据单位职责、发展规划、年度工作任务和绩效目标等，从部门决策、部门管理、部门履职、履职绩效和服务对象满意度等方面，对部门预算整体绩效进行分析。重点关注年度绩效目标设立是否科学、合理；评价指标是否可行；评价标准是否可以量化等方面进行分析评价。形成了由</w:t>
      </w:r>
      <w:r>
        <w:rPr>
          <w:rFonts w:eastAsia="方正仿宋简体"/>
          <w:color w:val="auto"/>
          <w:sz w:val="32"/>
          <w:szCs w:val="32"/>
        </w:rPr>
        <w:t>5项一</w:t>
      </w:r>
      <w:r>
        <w:rPr>
          <w:rFonts w:hint="eastAsia" w:ascii="方正仿宋简体" w:hAnsi="方正仿宋简体" w:eastAsia="方正仿宋简体" w:cs="方正仿宋简体"/>
          <w:color w:val="auto"/>
          <w:sz w:val="32"/>
          <w:szCs w:val="32"/>
        </w:rPr>
        <w:t>级指标、</w:t>
      </w:r>
      <w:r>
        <w:rPr>
          <w:rFonts w:eastAsia="方正仿宋简体"/>
          <w:color w:val="auto"/>
          <w:sz w:val="32"/>
          <w:szCs w:val="32"/>
        </w:rPr>
        <w:t>16项二级指标和36</w:t>
      </w:r>
      <w:r>
        <w:rPr>
          <w:rFonts w:hint="eastAsia" w:ascii="方正仿宋简体" w:hAnsi="方正仿宋简体" w:eastAsia="方正仿宋简体" w:cs="方正仿宋简体"/>
          <w:color w:val="auto"/>
          <w:sz w:val="32"/>
          <w:szCs w:val="32"/>
        </w:rPr>
        <w:t>项三级指标组成的整体绩效评价指标体系，评价重点在“部门履职”和“履职绩效”上，权重</w:t>
      </w:r>
      <w:r>
        <w:rPr>
          <w:rFonts w:eastAsia="方正仿宋简体"/>
          <w:color w:val="auto"/>
          <w:sz w:val="32"/>
          <w:szCs w:val="32"/>
        </w:rPr>
        <w:t>达60%。</w:t>
      </w:r>
      <w:r>
        <w:rPr>
          <w:rFonts w:hint="eastAsia" w:ascii="方正仿宋简体" w:hAnsi="方正仿宋简体" w:eastAsia="方正仿宋简体" w:cs="方正仿宋简体"/>
          <w:color w:val="auto"/>
          <w:sz w:val="32"/>
          <w:szCs w:val="32"/>
        </w:rPr>
        <w:t>本次绩效评价项目通过综合运用制定评价指标和标准、数据采集等方式进行部门整体绩效综合评价，一方面详细了解、掌握项目的概况及实施情况；另一方面进行调查取数，为评价部门决策、部门管理、部门履职及履职绩效、服务对象满意度等提供证据支撑。评价指标采取定量与定性相结合、优先定量的原则。</w:t>
      </w:r>
    </w:p>
    <w:p w14:paraId="7FF8289D">
      <w:pPr>
        <w:pStyle w:val="24"/>
        <w:spacing w:after="0"/>
        <w:ind w:firstLine="641"/>
        <w:jc w:val="both"/>
        <w:rPr>
          <w:rFonts w:hint="default" w:eastAsia="方正仿宋简体"/>
          <w:b/>
          <w:bCs/>
          <w:color w:val="auto"/>
          <w:szCs w:val="32"/>
          <w:lang w:val="en-US" w:eastAsia="zh-CN"/>
        </w:rPr>
      </w:pPr>
      <w:r>
        <w:rPr>
          <w:rFonts w:hint="eastAsia" w:eastAsia="方正仿宋简体"/>
          <w:b/>
          <w:bCs/>
          <w:color w:val="auto"/>
          <w:szCs w:val="32"/>
          <w:lang w:val="en-US" w:eastAsia="zh-CN"/>
        </w:rPr>
        <w:t>（二）</w:t>
      </w:r>
      <w:r>
        <w:rPr>
          <w:rFonts w:hint="default" w:eastAsia="方正仿宋简体"/>
          <w:b/>
          <w:bCs/>
          <w:color w:val="auto"/>
          <w:szCs w:val="32"/>
          <w:lang w:val="en-US" w:eastAsia="zh-CN"/>
        </w:rPr>
        <w:t>评价方法</w:t>
      </w:r>
    </w:p>
    <w:p w14:paraId="187E5073">
      <w:pPr>
        <w:spacing w:line="560" w:lineRule="exact"/>
        <w:ind w:firstLine="640" w:firstLineChars="200"/>
        <w:rPr>
          <w:rFonts w:hint="default" w:ascii="方正仿宋简体" w:hAnsi="方正仿宋简体" w:eastAsia="方正仿宋简体" w:cs="方正仿宋简体"/>
          <w:color w:val="auto"/>
          <w:sz w:val="32"/>
          <w:szCs w:val="32"/>
          <w:lang w:val="en-US" w:eastAsia="zh-CN"/>
        </w:rPr>
      </w:pPr>
      <w:r>
        <w:rPr>
          <w:rFonts w:hint="default" w:ascii="方正仿宋简体" w:hAnsi="方正仿宋简体" w:eastAsia="方正仿宋简体" w:cs="方正仿宋简体"/>
          <w:color w:val="auto"/>
          <w:sz w:val="32"/>
          <w:szCs w:val="32"/>
          <w:lang w:val="en-US" w:eastAsia="zh-CN"/>
        </w:rPr>
        <w:t>本次绩效评价项目通过综合运用制定评价指标和标准、数据采集、问卷调查等方式进行部门整体绩效综合评价，一方面详细了解、掌握部门概况及专项资金项目实施情况；另一方面进行调查取数，为评价部门决策、部门管理、部门履职及履职绩效、服务对象满意度等提供证据支撑。评价指标采取定量与定性相结合的原则。</w:t>
      </w:r>
    </w:p>
    <w:p w14:paraId="411D976C">
      <w:pPr>
        <w:pStyle w:val="24"/>
        <w:spacing w:after="0"/>
        <w:ind w:firstLine="641"/>
        <w:jc w:val="both"/>
        <w:rPr>
          <w:rFonts w:hint="eastAsia" w:eastAsia="方正仿宋简体"/>
          <w:b/>
          <w:bCs/>
          <w:color w:val="auto"/>
          <w:szCs w:val="32"/>
          <w:lang w:val="en-US" w:eastAsia="zh-CN"/>
        </w:rPr>
      </w:pPr>
      <w:r>
        <w:rPr>
          <w:rFonts w:hint="default" w:eastAsia="方正仿宋简体"/>
          <w:b/>
          <w:bCs/>
          <w:color w:val="auto"/>
          <w:szCs w:val="32"/>
          <w:lang w:val="en-US" w:eastAsia="zh-CN"/>
        </w:rPr>
        <w:t>（三）</w:t>
      </w:r>
      <w:r>
        <w:rPr>
          <w:rFonts w:hint="eastAsia" w:eastAsia="方正仿宋简体"/>
          <w:b/>
          <w:bCs/>
          <w:color w:val="auto"/>
          <w:szCs w:val="32"/>
          <w:lang w:val="en-US" w:eastAsia="zh-CN"/>
        </w:rPr>
        <w:t>评价指标体系</w:t>
      </w:r>
    </w:p>
    <w:p w14:paraId="2FAC73C9">
      <w:pPr>
        <w:adjustRightInd w:val="0"/>
        <w:snapToGrid w:val="0"/>
        <w:spacing w:line="560" w:lineRule="exact"/>
        <w:ind w:firstLine="640" w:firstLineChars="200"/>
        <w:outlineLvl w:val="1"/>
        <w:rPr>
          <w:rFonts w:eastAsia="方正仿宋简体"/>
          <w:color w:val="auto"/>
          <w:sz w:val="32"/>
          <w:szCs w:val="32"/>
        </w:rPr>
      </w:pPr>
      <w:r>
        <w:rPr>
          <w:rFonts w:hint="eastAsia" w:eastAsia="方正仿宋简体"/>
          <w:color w:val="auto"/>
          <w:sz w:val="32"/>
          <w:szCs w:val="32"/>
        </w:rPr>
        <w:t>我单位评价指标体系</w:t>
      </w:r>
      <w:r>
        <w:rPr>
          <w:rFonts w:eastAsia="方正仿宋简体"/>
          <w:color w:val="auto"/>
          <w:sz w:val="32"/>
          <w:szCs w:val="32"/>
        </w:rPr>
        <w:t>由5项一级指标、</w:t>
      </w:r>
      <w:r>
        <w:rPr>
          <w:rFonts w:eastAsia="方正仿宋简体"/>
          <w:color w:val="auto"/>
          <w:sz w:val="32"/>
          <w:szCs w:val="32"/>
          <w:highlight w:val="none"/>
        </w:rPr>
        <w:t>1</w:t>
      </w:r>
      <w:r>
        <w:rPr>
          <w:rFonts w:hint="eastAsia" w:eastAsia="方正仿宋简体"/>
          <w:color w:val="auto"/>
          <w:sz w:val="32"/>
          <w:szCs w:val="32"/>
          <w:highlight w:val="none"/>
          <w:lang w:val="en-US" w:eastAsia="zh-CN"/>
        </w:rPr>
        <w:t>5</w:t>
      </w:r>
      <w:r>
        <w:rPr>
          <w:rFonts w:eastAsia="方正仿宋简体"/>
          <w:color w:val="auto"/>
          <w:sz w:val="32"/>
          <w:szCs w:val="32"/>
          <w:highlight w:val="none"/>
        </w:rPr>
        <w:t>项二级指标和3</w:t>
      </w:r>
      <w:r>
        <w:rPr>
          <w:rFonts w:hint="eastAsia" w:eastAsia="方正仿宋简体"/>
          <w:color w:val="auto"/>
          <w:sz w:val="32"/>
          <w:szCs w:val="32"/>
          <w:highlight w:val="none"/>
          <w:lang w:val="en-US" w:eastAsia="zh-CN"/>
        </w:rPr>
        <w:t>2</w:t>
      </w:r>
      <w:r>
        <w:rPr>
          <w:rFonts w:eastAsia="方正仿宋简体"/>
          <w:color w:val="auto"/>
          <w:sz w:val="32"/>
          <w:szCs w:val="32"/>
        </w:rPr>
        <w:t>项三级指标</w:t>
      </w:r>
      <w:r>
        <w:rPr>
          <w:rFonts w:hint="eastAsia" w:eastAsia="方正仿宋简体"/>
          <w:color w:val="auto"/>
          <w:sz w:val="32"/>
          <w:szCs w:val="32"/>
          <w:lang w:eastAsia="zh-CN"/>
        </w:rPr>
        <w:t>组成</w:t>
      </w:r>
      <w:r>
        <w:rPr>
          <w:rFonts w:eastAsia="方正仿宋简体"/>
          <w:color w:val="auto"/>
          <w:sz w:val="32"/>
          <w:szCs w:val="32"/>
        </w:rPr>
        <w:t>。</w:t>
      </w:r>
    </w:p>
    <w:p w14:paraId="7BB3D440">
      <w:pPr>
        <w:adjustRightInd w:val="0"/>
        <w:snapToGrid w:val="0"/>
        <w:spacing w:line="560" w:lineRule="exact"/>
        <w:ind w:firstLine="640" w:firstLineChars="200"/>
        <w:outlineLvl w:val="1"/>
        <w:rPr>
          <w:rFonts w:hint="eastAsia" w:eastAsia="方正仿宋简体"/>
          <w:color w:val="auto"/>
          <w:sz w:val="32"/>
          <w:szCs w:val="32"/>
        </w:rPr>
      </w:pPr>
      <w:r>
        <w:rPr>
          <w:rFonts w:hint="eastAsia" w:eastAsia="方正仿宋简体"/>
          <w:color w:val="auto"/>
          <w:sz w:val="32"/>
          <w:szCs w:val="32"/>
        </w:rPr>
        <w:t>一级指标构成为：</w:t>
      </w:r>
      <w:r>
        <w:rPr>
          <w:rFonts w:hint="eastAsia" w:eastAsia="方正仿宋简体"/>
          <w:color w:val="auto"/>
          <w:sz w:val="32"/>
          <w:szCs w:val="32"/>
        </w:rPr>
        <w:tab/>
      </w:r>
      <w:r>
        <w:rPr>
          <w:rFonts w:hint="eastAsia" w:eastAsia="方正仿宋简体"/>
          <w:color w:val="auto"/>
          <w:sz w:val="32"/>
          <w:szCs w:val="32"/>
        </w:rPr>
        <w:t>A部门决策、B部门管理、C部门履职、D履职绩效及E满意度。</w:t>
      </w:r>
    </w:p>
    <w:p w14:paraId="4D91F180">
      <w:pPr>
        <w:spacing w:line="560" w:lineRule="exact"/>
        <w:ind w:firstLine="640" w:firstLineChars="200"/>
        <w:rPr>
          <w:rFonts w:hint="eastAsia" w:eastAsia="方正仿宋简体"/>
          <w:color w:val="auto"/>
          <w:sz w:val="32"/>
          <w:szCs w:val="32"/>
        </w:rPr>
      </w:pPr>
      <w:r>
        <w:rPr>
          <w:rFonts w:hint="eastAsia" w:eastAsia="方正仿宋简体"/>
          <w:color w:val="auto"/>
          <w:sz w:val="32"/>
          <w:szCs w:val="32"/>
        </w:rPr>
        <w:t>二级指标中，A、B类指标主要考核部门决策及管理情况。C类指标为根据我单位结合年初设定的工作计划，突出重点任务，进行指标分解，形成的重点履职工作绩效目标。D类指标为社会效益及可持续影响力，并与C指标进行对应。E类指标主要考评服务群体对中心工作的满意度。</w:t>
      </w:r>
    </w:p>
    <w:p w14:paraId="0130DC1D">
      <w:pPr>
        <w:spacing w:line="600" w:lineRule="exact"/>
        <w:ind w:firstLine="640"/>
        <w:rPr>
          <w:rFonts w:hint="eastAsia" w:eastAsia="方正仿宋简体"/>
          <w:color w:val="auto"/>
          <w:sz w:val="32"/>
          <w:szCs w:val="32"/>
        </w:rPr>
      </w:pPr>
      <w:r>
        <w:rPr>
          <w:rFonts w:hint="eastAsia" w:eastAsia="方正仿宋简体"/>
          <w:color w:val="auto"/>
          <w:sz w:val="32"/>
          <w:szCs w:val="32"/>
        </w:rPr>
        <w:t>指标设定完成后分别依据每一项指标分值、目标值、评分说明和评分依据进行设定，并根据指标进行解释，最后依据实际情况及佐证材料进行综合评分。</w:t>
      </w:r>
    </w:p>
    <w:p w14:paraId="40F04AC9">
      <w:pPr>
        <w:pStyle w:val="24"/>
        <w:spacing w:after="0"/>
        <w:ind w:firstLine="641"/>
        <w:jc w:val="both"/>
        <w:rPr>
          <w:rFonts w:hint="default" w:eastAsia="方正仿宋简体"/>
          <w:b/>
          <w:bCs/>
          <w:color w:val="auto"/>
          <w:szCs w:val="32"/>
          <w:lang w:val="en-US" w:eastAsia="zh-CN"/>
        </w:rPr>
      </w:pPr>
      <w:r>
        <w:rPr>
          <w:rFonts w:hint="default" w:eastAsia="方正仿宋简体"/>
          <w:b/>
          <w:bCs/>
          <w:color w:val="auto"/>
          <w:szCs w:val="32"/>
          <w:lang w:val="en-US" w:eastAsia="zh-CN"/>
        </w:rPr>
        <w:t>（四）其他需要说明的问题</w:t>
      </w:r>
    </w:p>
    <w:p w14:paraId="0EBA2B6D">
      <w:pPr>
        <w:spacing w:line="600" w:lineRule="exact"/>
        <w:ind w:firstLine="640"/>
        <w:rPr>
          <w:rFonts w:hint="eastAsia" w:ascii="方正仿宋简体" w:hAnsi="方正仿宋简体" w:eastAsia="方正仿宋简体" w:cs="方正仿宋简体"/>
          <w:color w:val="auto"/>
          <w:szCs w:val="32"/>
        </w:rPr>
      </w:pPr>
      <w:r>
        <w:rPr>
          <w:rFonts w:hint="eastAsia" w:eastAsia="方正仿宋简体"/>
          <w:color w:val="auto"/>
          <w:sz w:val="32"/>
          <w:szCs w:val="32"/>
          <w:lang w:val="en-US" w:eastAsia="zh-CN"/>
        </w:rPr>
        <w:t>无。</w:t>
      </w:r>
    </w:p>
    <w:p w14:paraId="4F87090B">
      <w:pPr>
        <w:adjustRightInd w:val="0"/>
        <w:snapToGrid w:val="0"/>
        <w:spacing w:line="560" w:lineRule="exact"/>
        <w:ind w:firstLine="640" w:firstLineChars="200"/>
        <w:outlineLvl w:val="0"/>
        <w:rPr>
          <w:rFonts w:hint="eastAsia" w:ascii="方正仿宋简体" w:hAnsi="方正仿宋简体" w:eastAsia="方正仿宋简体" w:cs="方正仿宋简体"/>
          <w:color w:val="auto"/>
          <w:sz w:val="32"/>
          <w:szCs w:val="32"/>
        </w:rPr>
      </w:pPr>
      <w:bookmarkStart w:id="25" w:name="_Toc178059072"/>
      <w:bookmarkStart w:id="26" w:name="_Toc178059787"/>
    </w:p>
    <w:p w14:paraId="2DF58DC2">
      <w:pPr>
        <w:adjustRightInd w:val="0"/>
        <w:snapToGrid w:val="0"/>
        <w:spacing w:line="560" w:lineRule="exact"/>
        <w:ind w:firstLine="640" w:firstLineChars="200"/>
        <w:outlineLvl w:val="0"/>
        <w:rPr>
          <w:rFonts w:hint="eastAsia" w:ascii="方正仿宋简体" w:hAnsi="方正仿宋简体" w:eastAsia="方正仿宋简体" w:cs="方正仿宋简体"/>
          <w:color w:val="auto"/>
          <w:szCs w:val="32"/>
        </w:rPr>
      </w:pPr>
      <w:r>
        <w:rPr>
          <w:rFonts w:hint="eastAsia" w:ascii="方正仿宋简体" w:hAnsi="方正仿宋简体" w:eastAsia="方正仿宋简体" w:cs="方正仿宋简体"/>
          <w:color w:val="auto"/>
          <w:sz w:val="32"/>
          <w:szCs w:val="32"/>
        </w:rPr>
        <w:t>附件：</w:t>
      </w:r>
      <w:bookmarkEnd w:id="25"/>
      <w:bookmarkEnd w:id="26"/>
      <w:r>
        <w:rPr>
          <w:rFonts w:hint="eastAsia" w:ascii="方正仿宋简体" w:hAnsi="方正仿宋简体" w:eastAsia="方正仿宋简体" w:cs="方正仿宋简体"/>
          <w:color w:val="auto"/>
          <w:sz w:val="32"/>
          <w:szCs w:val="32"/>
        </w:rPr>
        <w:t>南京市妇女儿童活动中心</w:t>
      </w:r>
      <w:r>
        <w:rPr>
          <w:rFonts w:hint="eastAsia" w:eastAsia="方正仿宋简体"/>
          <w:color w:val="auto"/>
          <w:sz w:val="32"/>
          <w:szCs w:val="32"/>
          <w:lang w:eastAsia="zh-CN"/>
        </w:rPr>
        <w:t>2025</w:t>
      </w:r>
      <w:r>
        <w:rPr>
          <w:rFonts w:eastAsia="方正仿宋简体"/>
          <w:color w:val="auto"/>
          <w:sz w:val="32"/>
          <w:szCs w:val="32"/>
        </w:rPr>
        <w:t>年</w:t>
      </w:r>
      <w:r>
        <w:rPr>
          <w:rFonts w:hint="eastAsia" w:ascii="方正仿宋简体" w:hAnsi="方正仿宋简体" w:eastAsia="方正仿宋简体" w:cs="方正仿宋简体"/>
          <w:color w:val="auto"/>
          <w:sz w:val="32"/>
          <w:szCs w:val="32"/>
        </w:rPr>
        <w:t>度部门整体绩效综合评价表</w:t>
      </w:r>
    </w:p>
    <w:p w14:paraId="1C325D64">
      <w:pPr>
        <w:pStyle w:val="24"/>
        <w:ind w:firstLine="640"/>
        <w:rPr>
          <w:rFonts w:hint="eastAsia" w:ascii="方正仿宋简体" w:hAnsi="方正仿宋简体" w:eastAsia="方正仿宋简体" w:cs="方正仿宋简体"/>
          <w:color w:val="auto"/>
          <w:kern w:val="2"/>
          <w:szCs w:val="32"/>
          <w:lang w:eastAsia="zh-CN"/>
        </w:rPr>
        <w:sectPr>
          <w:headerReference r:id="rId3" w:type="default"/>
          <w:footerReference r:id="rId4" w:type="default"/>
          <w:pgSz w:w="11906" w:h="16838"/>
          <w:pgMar w:top="2154" w:right="1531" w:bottom="1587" w:left="1587" w:header="851" w:footer="1417" w:gutter="0"/>
          <w:pgBorders>
            <w:top w:val="none" w:sz="0" w:space="0"/>
            <w:left w:val="none" w:sz="0" w:space="0"/>
            <w:bottom w:val="none" w:sz="0" w:space="0"/>
            <w:right w:val="none" w:sz="0" w:space="0"/>
          </w:pgBorders>
          <w:cols w:space="720" w:num="1"/>
          <w:docGrid w:type="lines" w:linePitch="581" w:charSpace="0"/>
        </w:sectPr>
      </w:pPr>
    </w:p>
    <w:p w14:paraId="5F6068AB">
      <w:pPr>
        <w:pStyle w:val="24"/>
        <w:ind w:firstLine="640"/>
        <w:rPr>
          <w:rFonts w:hint="default" w:ascii="方正仿宋简体" w:hAnsi="方正仿宋简体" w:eastAsia="方正仿宋简体" w:cs="方正仿宋简体"/>
          <w:color w:val="auto"/>
          <w:kern w:val="2"/>
          <w:szCs w:val="32"/>
          <w:lang w:val="en-US" w:eastAsia="zh-CN"/>
        </w:rPr>
      </w:pPr>
    </w:p>
    <w:tbl>
      <w:tblPr>
        <w:tblStyle w:val="12"/>
        <w:tblW w:w="14994" w:type="dxa"/>
        <w:jc w:val="center"/>
        <w:shd w:val="clear" w:color="auto" w:fill="auto"/>
        <w:tblLayout w:type="fixed"/>
        <w:tblCellMar>
          <w:top w:w="0" w:type="dxa"/>
          <w:left w:w="108" w:type="dxa"/>
          <w:bottom w:w="0" w:type="dxa"/>
          <w:right w:w="108" w:type="dxa"/>
        </w:tblCellMar>
      </w:tblPr>
      <w:tblGrid>
        <w:gridCol w:w="1181"/>
        <w:gridCol w:w="1216"/>
        <w:gridCol w:w="1440"/>
        <w:gridCol w:w="655"/>
        <w:gridCol w:w="1112"/>
        <w:gridCol w:w="2589"/>
        <w:gridCol w:w="2160"/>
        <w:gridCol w:w="900"/>
        <w:gridCol w:w="3576"/>
        <w:gridCol w:w="165"/>
      </w:tblGrid>
      <w:tr w14:paraId="6CF9AA58">
        <w:tblPrEx>
          <w:shd w:val="clear" w:color="auto" w:fill="auto"/>
          <w:tblCellMar>
            <w:top w:w="0" w:type="dxa"/>
            <w:left w:w="108" w:type="dxa"/>
            <w:bottom w:w="0" w:type="dxa"/>
            <w:right w:w="108" w:type="dxa"/>
          </w:tblCellMar>
        </w:tblPrEx>
        <w:trPr>
          <w:gridAfter w:val="1"/>
          <w:wAfter w:w="165" w:type="dxa"/>
          <w:trHeight w:val="743" w:hRule="atLeast"/>
          <w:jc w:val="center"/>
        </w:trPr>
        <w:tc>
          <w:tcPr>
            <w:tcW w:w="14829" w:type="dxa"/>
            <w:gridSpan w:val="9"/>
            <w:tcBorders>
              <w:top w:val="nil"/>
              <w:left w:val="nil"/>
              <w:bottom w:val="single" w:color="auto" w:sz="4" w:space="0"/>
              <w:right w:val="nil"/>
            </w:tcBorders>
            <w:shd w:val="clear" w:color="auto" w:fill="auto"/>
            <w:noWrap/>
            <w:vAlign w:val="center"/>
          </w:tcPr>
          <w:p w14:paraId="132ABA6C">
            <w:pPr>
              <w:spacing w:line="360" w:lineRule="exact"/>
              <w:jc w:val="center"/>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南京市妇女儿童活动中心</w:t>
            </w:r>
            <w:r>
              <w:rPr>
                <w:rFonts w:hint="eastAsia" w:ascii="方正仿宋简体" w:hAnsi="方正仿宋简体" w:eastAsia="方正仿宋简体" w:cs="方正仿宋简体"/>
                <w:color w:val="auto"/>
                <w:kern w:val="0"/>
                <w:sz w:val="24"/>
                <w:szCs w:val="24"/>
                <w:highlight w:val="none"/>
                <w:lang w:eastAsia="zh-CN"/>
              </w:rPr>
              <w:t>2025</w:t>
            </w:r>
            <w:r>
              <w:rPr>
                <w:rFonts w:hint="eastAsia" w:ascii="方正仿宋简体" w:hAnsi="方正仿宋简体" w:eastAsia="方正仿宋简体" w:cs="方正仿宋简体"/>
                <w:color w:val="auto"/>
                <w:kern w:val="0"/>
                <w:sz w:val="24"/>
                <w:szCs w:val="24"/>
                <w:highlight w:val="none"/>
              </w:rPr>
              <w:t>年度部门整体绩效综合评价表</w:t>
            </w:r>
          </w:p>
        </w:tc>
      </w:tr>
      <w:tr w14:paraId="608FBF96">
        <w:tblPrEx>
          <w:tblCellMar>
            <w:top w:w="0" w:type="dxa"/>
            <w:left w:w="108" w:type="dxa"/>
            <w:bottom w:w="0" w:type="dxa"/>
            <w:right w:w="108" w:type="dxa"/>
          </w:tblCellMar>
        </w:tblPrEx>
        <w:trPr>
          <w:trHeight w:val="445" w:hRule="atLeast"/>
          <w:jc w:val="center"/>
        </w:trPr>
        <w:tc>
          <w:tcPr>
            <w:tcW w:w="118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2715DEA">
            <w:pPr>
              <w:spacing w:line="320" w:lineRule="exact"/>
              <w:jc w:val="center"/>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一级指标</w:t>
            </w:r>
          </w:p>
        </w:tc>
        <w:tc>
          <w:tcPr>
            <w:tcW w:w="121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37F7ACD">
            <w:pPr>
              <w:spacing w:line="320" w:lineRule="exact"/>
              <w:jc w:val="center"/>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二级指标</w:t>
            </w:r>
          </w:p>
        </w:tc>
        <w:tc>
          <w:tcPr>
            <w:tcW w:w="14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DE1597B">
            <w:pPr>
              <w:spacing w:line="320" w:lineRule="exact"/>
              <w:jc w:val="center"/>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三级指标</w:t>
            </w:r>
          </w:p>
        </w:tc>
        <w:tc>
          <w:tcPr>
            <w:tcW w:w="655" w:type="dxa"/>
            <w:tcBorders>
              <w:top w:val="single" w:color="auto" w:sz="4" w:space="0"/>
              <w:left w:val="nil"/>
              <w:bottom w:val="single" w:color="auto" w:sz="4" w:space="0"/>
              <w:right w:val="single" w:color="auto" w:sz="4" w:space="0"/>
            </w:tcBorders>
            <w:shd w:val="clear" w:color="auto" w:fill="auto"/>
            <w:noWrap w:val="0"/>
            <w:vAlign w:val="center"/>
          </w:tcPr>
          <w:p w14:paraId="4172B7CF">
            <w:pPr>
              <w:spacing w:line="320" w:lineRule="exact"/>
              <w:jc w:val="center"/>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分值</w:t>
            </w:r>
          </w:p>
        </w:tc>
        <w:tc>
          <w:tcPr>
            <w:tcW w:w="1112" w:type="dxa"/>
            <w:tcBorders>
              <w:top w:val="single" w:color="auto" w:sz="4" w:space="0"/>
              <w:left w:val="nil"/>
              <w:bottom w:val="single" w:color="auto" w:sz="4" w:space="0"/>
              <w:right w:val="single" w:color="auto" w:sz="4" w:space="0"/>
            </w:tcBorders>
            <w:shd w:val="clear" w:color="auto" w:fill="auto"/>
            <w:noWrap w:val="0"/>
            <w:vAlign w:val="center"/>
          </w:tcPr>
          <w:p w14:paraId="2A56C861">
            <w:pPr>
              <w:spacing w:line="320" w:lineRule="exact"/>
              <w:jc w:val="center"/>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目标值</w:t>
            </w:r>
          </w:p>
        </w:tc>
        <w:tc>
          <w:tcPr>
            <w:tcW w:w="2589" w:type="dxa"/>
            <w:tcBorders>
              <w:top w:val="single" w:color="auto" w:sz="4" w:space="0"/>
              <w:left w:val="nil"/>
              <w:bottom w:val="single" w:color="auto" w:sz="4" w:space="0"/>
              <w:right w:val="single" w:color="auto" w:sz="4" w:space="0"/>
            </w:tcBorders>
            <w:shd w:val="clear" w:color="auto" w:fill="auto"/>
            <w:noWrap w:val="0"/>
            <w:vAlign w:val="center"/>
          </w:tcPr>
          <w:p w14:paraId="76CB5739">
            <w:pPr>
              <w:spacing w:line="320" w:lineRule="exact"/>
              <w:jc w:val="center"/>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指标解释</w:t>
            </w:r>
          </w:p>
        </w:tc>
        <w:tc>
          <w:tcPr>
            <w:tcW w:w="2160" w:type="dxa"/>
            <w:tcBorders>
              <w:top w:val="single" w:color="auto" w:sz="4" w:space="0"/>
              <w:left w:val="nil"/>
              <w:bottom w:val="single" w:color="auto" w:sz="4" w:space="0"/>
              <w:right w:val="single" w:color="auto" w:sz="4" w:space="0"/>
            </w:tcBorders>
            <w:shd w:val="clear" w:color="auto" w:fill="auto"/>
            <w:noWrap w:val="0"/>
            <w:vAlign w:val="center"/>
          </w:tcPr>
          <w:p w14:paraId="740D33E3">
            <w:pPr>
              <w:spacing w:line="320" w:lineRule="exact"/>
              <w:jc w:val="center"/>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评分说明</w:t>
            </w:r>
          </w:p>
        </w:tc>
        <w:tc>
          <w:tcPr>
            <w:tcW w:w="900" w:type="dxa"/>
            <w:tcBorders>
              <w:top w:val="single" w:color="auto" w:sz="4" w:space="0"/>
              <w:left w:val="nil"/>
              <w:bottom w:val="single" w:color="auto" w:sz="4" w:space="0"/>
              <w:right w:val="single" w:color="auto" w:sz="4" w:space="0"/>
            </w:tcBorders>
            <w:shd w:val="clear" w:color="auto" w:fill="auto"/>
            <w:noWrap w:val="0"/>
            <w:vAlign w:val="center"/>
          </w:tcPr>
          <w:p w14:paraId="52F58511">
            <w:pPr>
              <w:spacing w:line="320" w:lineRule="exact"/>
              <w:jc w:val="center"/>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得分</w:t>
            </w:r>
          </w:p>
        </w:tc>
        <w:tc>
          <w:tcPr>
            <w:tcW w:w="3741" w:type="dxa"/>
            <w:gridSpan w:val="2"/>
            <w:tcBorders>
              <w:top w:val="single" w:color="auto" w:sz="4" w:space="0"/>
              <w:left w:val="nil"/>
              <w:bottom w:val="single" w:color="auto" w:sz="4" w:space="0"/>
              <w:right w:val="single" w:color="auto" w:sz="4" w:space="0"/>
            </w:tcBorders>
            <w:shd w:val="clear" w:color="auto" w:fill="auto"/>
            <w:noWrap w:val="0"/>
            <w:vAlign w:val="center"/>
          </w:tcPr>
          <w:p w14:paraId="6FB60068">
            <w:pPr>
              <w:spacing w:line="320" w:lineRule="exact"/>
              <w:jc w:val="center"/>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评分依据</w:t>
            </w:r>
          </w:p>
        </w:tc>
      </w:tr>
      <w:tr w14:paraId="208921BA">
        <w:tblPrEx>
          <w:shd w:val="clear" w:color="auto" w:fill="auto"/>
          <w:tblCellMar>
            <w:top w:w="0" w:type="dxa"/>
            <w:left w:w="108" w:type="dxa"/>
            <w:bottom w:w="0" w:type="dxa"/>
            <w:right w:w="108" w:type="dxa"/>
          </w:tblCellMar>
        </w:tblPrEx>
        <w:trPr>
          <w:trHeight w:val="1200" w:hRule="atLeast"/>
          <w:jc w:val="center"/>
        </w:trPr>
        <w:tc>
          <w:tcPr>
            <w:tcW w:w="1181"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7DE0787D">
            <w:pPr>
              <w:spacing w:line="36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A部门决策（15分）</w:t>
            </w:r>
          </w:p>
        </w:tc>
        <w:tc>
          <w:tcPr>
            <w:tcW w:w="121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AB0672B">
            <w:pPr>
              <w:spacing w:line="36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A1决策机制</w:t>
            </w:r>
          </w:p>
          <w:p w14:paraId="3C51C9FD">
            <w:pPr>
              <w:spacing w:line="36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（3分）</w:t>
            </w:r>
          </w:p>
        </w:tc>
        <w:tc>
          <w:tcPr>
            <w:tcW w:w="14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DE17000">
            <w:pPr>
              <w:spacing w:line="36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A11决策程序的科学规范性</w:t>
            </w:r>
          </w:p>
        </w:tc>
        <w:tc>
          <w:tcPr>
            <w:tcW w:w="655" w:type="dxa"/>
            <w:tcBorders>
              <w:top w:val="single" w:color="auto" w:sz="4" w:space="0"/>
              <w:left w:val="nil"/>
              <w:bottom w:val="single" w:color="auto" w:sz="4" w:space="0"/>
              <w:right w:val="single" w:color="auto" w:sz="4" w:space="0"/>
            </w:tcBorders>
            <w:shd w:val="clear" w:color="auto" w:fill="auto"/>
            <w:noWrap w:val="0"/>
            <w:vAlign w:val="center"/>
          </w:tcPr>
          <w:p w14:paraId="056A5379">
            <w:pPr>
              <w:spacing w:line="360" w:lineRule="exact"/>
              <w:jc w:val="center"/>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3</w:t>
            </w:r>
          </w:p>
        </w:tc>
        <w:tc>
          <w:tcPr>
            <w:tcW w:w="1112" w:type="dxa"/>
            <w:tcBorders>
              <w:top w:val="single" w:color="auto" w:sz="4" w:space="0"/>
              <w:left w:val="nil"/>
              <w:bottom w:val="single" w:color="auto" w:sz="4" w:space="0"/>
              <w:right w:val="single" w:color="auto" w:sz="4" w:space="0"/>
            </w:tcBorders>
            <w:shd w:val="clear" w:color="auto" w:fill="auto"/>
            <w:noWrap w:val="0"/>
            <w:vAlign w:val="center"/>
          </w:tcPr>
          <w:p w14:paraId="7DC3859D">
            <w:pPr>
              <w:spacing w:line="360" w:lineRule="exact"/>
              <w:jc w:val="center"/>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科学规范性</w:t>
            </w:r>
          </w:p>
        </w:tc>
        <w:tc>
          <w:tcPr>
            <w:tcW w:w="2589" w:type="dxa"/>
            <w:tcBorders>
              <w:top w:val="single" w:color="auto" w:sz="4" w:space="0"/>
              <w:left w:val="nil"/>
              <w:bottom w:val="single" w:color="auto" w:sz="4" w:space="0"/>
              <w:right w:val="single" w:color="auto" w:sz="4" w:space="0"/>
            </w:tcBorders>
            <w:shd w:val="clear" w:color="auto" w:fill="auto"/>
            <w:noWrap w:val="0"/>
            <w:vAlign w:val="center"/>
          </w:tcPr>
          <w:p w14:paraId="6BB8EA2A">
            <w:pPr>
              <w:spacing w:line="32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考核部门是否建立了关于重大经济活动、重大资金安排的决策制度，决策制度是否科学可行；上述决策流程设计是否规范合理</w:t>
            </w:r>
          </w:p>
        </w:tc>
        <w:tc>
          <w:tcPr>
            <w:tcW w:w="2160" w:type="dxa"/>
            <w:tcBorders>
              <w:top w:val="single" w:color="auto" w:sz="4" w:space="0"/>
              <w:left w:val="nil"/>
              <w:bottom w:val="single" w:color="auto" w:sz="4" w:space="0"/>
              <w:right w:val="single" w:color="auto" w:sz="4" w:space="0"/>
            </w:tcBorders>
            <w:shd w:val="clear" w:color="auto" w:fill="auto"/>
            <w:noWrap w:val="0"/>
            <w:vAlign w:val="center"/>
          </w:tcPr>
          <w:p w14:paraId="6ECB1DAE">
            <w:pPr>
              <w:spacing w:line="36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部门决策制度已建立得1分；科学可行得1分；部门决策流程设计规范合理得1分；否则不得分。</w:t>
            </w:r>
          </w:p>
        </w:tc>
        <w:tc>
          <w:tcPr>
            <w:tcW w:w="900" w:type="dxa"/>
            <w:tcBorders>
              <w:top w:val="single" w:color="auto" w:sz="4" w:space="0"/>
              <w:left w:val="nil"/>
              <w:bottom w:val="single" w:color="auto" w:sz="4" w:space="0"/>
              <w:right w:val="single" w:color="auto" w:sz="4" w:space="0"/>
            </w:tcBorders>
            <w:shd w:val="clear" w:color="auto" w:fill="auto"/>
            <w:noWrap w:val="0"/>
            <w:vAlign w:val="center"/>
          </w:tcPr>
          <w:p w14:paraId="6FDE3B62">
            <w:pPr>
              <w:spacing w:line="360" w:lineRule="exact"/>
              <w:jc w:val="center"/>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3</w:t>
            </w:r>
          </w:p>
        </w:tc>
        <w:tc>
          <w:tcPr>
            <w:tcW w:w="3741" w:type="dxa"/>
            <w:gridSpan w:val="2"/>
            <w:tcBorders>
              <w:top w:val="single" w:color="auto" w:sz="4" w:space="0"/>
              <w:left w:val="nil"/>
              <w:bottom w:val="single" w:color="auto" w:sz="4" w:space="0"/>
              <w:right w:val="single" w:color="auto" w:sz="4" w:space="0"/>
            </w:tcBorders>
            <w:shd w:val="clear" w:color="auto" w:fill="auto"/>
            <w:noWrap w:val="0"/>
            <w:vAlign w:val="center"/>
          </w:tcPr>
          <w:p w14:paraId="5CC5E5CB">
            <w:pPr>
              <w:spacing w:line="32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市妇女儿童活动中心制订了《</w:t>
            </w:r>
            <w:r>
              <w:rPr>
                <w:rFonts w:hint="eastAsia" w:ascii="方正仿宋简体" w:hAnsi="方正仿宋简体" w:eastAsia="方正仿宋简体" w:cs="方正仿宋简体"/>
                <w:color w:val="auto"/>
                <w:kern w:val="0"/>
                <w:sz w:val="24"/>
                <w:szCs w:val="24"/>
                <w:highlight w:val="none"/>
                <w:lang w:val="en-US" w:eastAsia="zh-CN"/>
              </w:rPr>
              <w:t>党政联席会</w:t>
            </w:r>
            <w:r>
              <w:rPr>
                <w:rFonts w:hint="eastAsia" w:ascii="方正仿宋简体" w:hAnsi="方正仿宋简体" w:eastAsia="方正仿宋简体" w:cs="方正仿宋简体"/>
                <w:color w:val="auto"/>
                <w:kern w:val="0"/>
                <w:sz w:val="24"/>
                <w:szCs w:val="24"/>
                <w:highlight w:val="none"/>
              </w:rPr>
              <w:t>议事规则》《公益资金管理暂行办法》等集体决策制度，进一步规范了决策行为。部门决策机制对议事范围、议事程序、会议记录和决议事项落实均作明确的规定，部门决策科学，流程设计规范。</w:t>
            </w:r>
          </w:p>
        </w:tc>
      </w:tr>
      <w:tr w14:paraId="3D63BA89">
        <w:tblPrEx>
          <w:shd w:val="clear" w:color="auto" w:fill="auto"/>
          <w:tblCellMar>
            <w:top w:w="0" w:type="dxa"/>
            <w:left w:w="108" w:type="dxa"/>
            <w:bottom w:w="0" w:type="dxa"/>
            <w:right w:w="108" w:type="dxa"/>
          </w:tblCellMar>
        </w:tblPrEx>
        <w:trPr>
          <w:trHeight w:val="1341" w:hRule="atLeast"/>
          <w:jc w:val="center"/>
        </w:trPr>
        <w:tc>
          <w:tcPr>
            <w:tcW w:w="1181"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003D7E57">
            <w:pPr>
              <w:spacing w:line="360" w:lineRule="exact"/>
              <w:jc w:val="left"/>
              <w:rPr>
                <w:rFonts w:hint="eastAsia" w:ascii="方正仿宋简体" w:hAnsi="方正仿宋简体" w:eastAsia="方正仿宋简体" w:cs="方正仿宋简体"/>
                <w:color w:val="auto"/>
                <w:kern w:val="0"/>
                <w:sz w:val="24"/>
                <w:szCs w:val="24"/>
                <w:highlight w:val="none"/>
              </w:rPr>
            </w:pPr>
          </w:p>
        </w:tc>
        <w:tc>
          <w:tcPr>
            <w:tcW w:w="121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1FB2023">
            <w:pPr>
              <w:spacing w:line="36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A2中长期目标</w:t>
            </w:r>
          </w:p>
          <w:p w14:paraId="042E7A8F">
            <w:pPr>
              <w:spacing w:line="36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（4分）</w:t>
            </w:r>
          </w:p>
        </w:tc>
        <w:tc>
          <w:tcPr>
            <w:tcW w:w="14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79CA13D">
            <w:pPr>
              <w:spacing w:line="36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A21中长期目标明确性</w:t>
            </w:r>
          </w:p>
        </w:tc>
        <w:tc>
          <w:tcPr>
            <w:tcW w:w="655" w:type="dxa"/>
            <w:tcBorders>
              <w:top w:val="single" w:color="auto" w:sz="4" w:space="0"/>
              <w:left w:val="nil"/>
              <w:bottom w:val="single" w:color="auto" w:sz="4" w:space="0"/>
              <w:right w:val="single" w:color="auto" w:sz="4" w:space="0"/>
            </w:tcBorders>
            <w:shd w:val="clear" w:color="auto" w:fill="auto"/>
            <w:noWrap w:val="0"/>
            <w:vAlign w:val="center"/>
          </w:tcPr>
          <w:p w14:paraId="411FE00A">
            <w:pPr>
              <w:spacing w:line="360" w:lineRule="exact"/>
              <w:jc w:val="center"/>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2</w:t>
            </w:r>
          </w:p>
        </w:tc>
        <w:tc>
          <w:tcPr>
            <w:tcW w:w="1112" w:type="dxa"/>
            <w:tcBorders>
              <w:top w:val="single" w:color="auto" w:sz="4" w:space="0"/>
              <w:left w:val="nil"/>
              <w:bottom w:val="single" w:color="auto" w:sz="4" w:space="0"/>
              <w:right w:val="single" w:color="auto" w:sz="4" w:space="0"/>
            </w:tcBorders>
            <w:shd w:val="clear" w:color="auto" w:fill="auto"/>
            <w:noWrap w:val="0"/>
            <w:vAlign w:val="center"/>
          </w:tcPr>
          <w:p w14:paraId="58B43B1A">
            <w:pPr>
              <w:spacing w:line="360" w:lineRule="exact"/>
              <w:jc w:val="center"/>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明确</w:t>
            </w:r>
          </w:p>
        </w:tc>
        <w:tc>
          <w:tcPr>
            <w:tcW w:w="2589" w:type="dxa"/>
            <w:tcBorders>
              <w:top w:val="single" w:color="auto" w:sz="4" w:space="0"/>
              <w:left w:val="nil"/>
              <w:bottom w:val="single" w:color="auto" w:sz="4" w:space="0"/>
              <w:right w:val="single" w:color="auto" w:sz="4" w:space="0"/>
            </w:tcBorders>
            <w:shd w:val="clear" w:color="auto" w:fill="auto"/>
            <w:noWrap w:val="0"/>
            <w:vAlign w:val="center"/>
          </w:tcPr>
          <w:p w14:paraId="479E3ADD">
            <w:pPr>
              <w:spacing w:line="36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部门是否具有明确的中长期目标</w:t>
            </w:r>
          </w:p>
        </w:tc>
        <w:tc>
          <w:tcPr>
            <w:tcW w:w="2160" w:type="dxa"/>
            <w:tcBorders>
              <w:top w:val="single" w:color="auto" w:sz="4" w:space="0"/>
              <w:left w:val="nil"/>
              <w:bottom w:val="single" w:color="auto" w:sz="4" w:space="0"/>
              <w:right w:val="single" w:color="auto" w:sz="4" w:space="0"/>
            </w:tcBorders>
            <w:shd w:val="clear" w:color="auto" w:fill="auto"/>
            <w:noWrap w:val="0"/>
            <w:vAlign w:val="center"/>
          </w:tcPr>
          <w:p w14:paraId="5446DC0C">
            <w:pPr>
              <w:spacing w:line="36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部门中长期目标明确得1分，完整得1分，否则不得分。</w:t>
            </w:r>
          </w:p>
        </w:tc>
        <w:tc>
          <w:tcPr>
            <w:tcW w:w="900" w:type="dxa"/>
            <w:tcBorders>
              <w:top w:val="single" w:color="auto" w:sz="4" w:space="0"/>
              <w:left w:val="nil"/>
              <w:bottom w:val="single" w:color="auto" w:sz="4" w:space="0"/>
              <w:right w:val="single" w:color="auto" w:sz="4" w:space="0"/>
            </w:tcBorders>
            <w:shd w:val="clear" w:color="auto" w:fill="auto"/>
            <w:noWrap w:val="0"/>
            <w:vAlign w:val="center"/>
          </w:tcPr>
          <w:p w14:paraId="424BC19F">
            <w:pPr>
              <w:spacing w:line="360" w:lineRule="exact"/>
              <w:jc w:val="center"/>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2</w:t>
            </w:r>
          </w:p>
        </w:tc>
        <w:tc>
          <w:tcPr>
            <w:tcW w:w="3741" w:type="dxa"/>
            <w:gridSpan w:val="2"/>
            <w:tcBorders>
              <w:top w:val="single" w:color="auto" w:sz="4" w:space="0"/>
              <w:left w:val="nil"/>
              <w:bottom w:val="single" w:color="auto" w:sz="4" w:space="0"/>
              <w:right w:val="single" w:color="auto" w:sz="4" w:space="0"/>
            </w:tcBorders>
            <w:shd w:val="clear" w:color="auto" w:fill="auto"/>
            <w:noWrap w:val="0"/>
            <w:vAlign w:val="center"/>
          </w:tcPr>
          <w:p w14:paraId="2AFF7A72">
            <w:pPr>
              <w:spacing w:line="32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部门有</w:t>
            </w:r>
            <w:r>
              <w:rPr>
                <w:rFonts w:hint="eastAsia" w:ascii="方正仿宋简体" w:hAnsi="方正仿宋简体" w:eastAsia="方正仿宋简体" w:cs="方正仿宋简体"/>
                <w:color w:val="auto"/>
                <w:spacing w:val="-6"/>
                <w:kern w:val="0"/>
                <w:sz w:val="24"/>
                <w:szCs w:val="24"/>
                <w:highlight w:val="none"/>
              </w:rPr>
              <w:t>明确完整的中长期目标，</w:t>
            </w:r>
            <w:r>
              <w:rPr>
                <w:rFonts w:hint="eastAsia" w:ascii="方正仿宋简体" w:hAnsi="方正仿宋简体" w:eastAsia="方正仿宋简体" w:cs="方正仿宋简体"/>
                <w:color w:val="auto"/>
                <w:kern w:val="0"/>
                <w:sz w:val="24"/>
                <w:szCs w:val="24"/>
                <w:highlight w:val="none"/>
              </w:rPr>
              <w:t>以习近平新时代中国特色社会主义思想为指引，立足于妇女、儿童、家庭三个方向的服务，以“关爱儿童、助力女性、服务家庭”为己任，深化与妇联、教育、驻区工作的三个融合，不断创新教学、活动、服务三项工作理念，扎实开展主题教育，实施精细化管理，以品牌塑造为抓手，推动各项工作有序、有力开展、落实。</w:t>
            </w:r>
          </w:p>
        </w:tc>
      </w:tr>
      <w:tr w14:paraId="0082B355">
        <w:tblPrEx>
          <w:shd w:val="clear" w:color="auto" w:fill="auto"/>
          <w:tblCellMar>
            <w:top w:w="0" w:type="dxa"/>
            <w:left w:w="108" w:type="dxa"/>
            <w:bottom w:w="0" w:type="dxa"/>
            <w:right w:w="108" w:type="dxa"/>
          </w:tblCellMar>
        </w:tblPrEx>
        <w:trPr>
          <w:trHeight w:val="1248" w:hRule="atLeast"/>
          <w:jc w:val="center"/>
        </w:trPr>
        <w:tc>
          <w:tcPr>
            <w:tcW w:w="1181"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1BA02584">
            <w:pPr>
              <w:spacing w:line="36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A部门决策（15分）</w:t>
            </w:r>
          </w:p>
        </w:tc>
        <w:tc>
          <w:tcPr>
            <w:tcW w:w="121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A32B07E">
            <w:pPr>
              <w:spacing w:line="36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A2中长期目标</w:t>
            </w:r>
          </w:p>
          <w:p w14:paraId="1F648887">
            <w:pPr>
              <w:spacing w:line="36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（4分）</w:t>
            </w:r>
          </w:p>
        </w:tc>
        <w:tc>
          <w:tcPr>
            <w:tcW w:w="14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A629FA6">
            <w:pPr>
              <w:spacing w:line="34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A22中长期目标与部门职能的匹配性</w:t>
            </w:r>
          </w:p>
        </w:tc>
        <w:tc>
          <w:tcPr>
            <w:tcW w:w="655" w:type="dxa"/>
            <w:tcBorders>
              <w:top w:val="single" w:color="auto" w:sz="4" w:space="0"/>
              <w:left w:val="nil"/>
              <w:bottom w:val="single" w:color="auto" w:sz="4" w:space="0"/>
              <w:right w:val="single" w:color="auto" w:sz="4" w:space="0"/>
            </w:tcBorders>
            <w:shd w:val="clear" w:color="auto" w:fill="auto"/>
            <w:noWrap w:val="0"/>
            <w:vAlign w:val="center"/>
          </w:tcPr>
          <w:p w14:paraId="37F5326E">
            <w:pPr>
              <w:spacing w:line="360" w:lineRule="exact"/>
              <w:jc w:val="center"/>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2</w:t>
            </w:r>
          </w:p>
        </w:tc>
        <w:tc>
          <w:tcPr>
            <w:tcW w:w="1112" w:type="dxa"/>
            <w:tcBorders>
              <w:top w:val="single" w:color="auto" w:sz="4" w:space="0"/>
              <w:left w:val="nil"/>
              <w:bottom w:val="single" w:color="auto" w:sz="4" w:space="0"/>
              <w:right w:val="single" w:color="auto" w:sz="4" w:space="0"/>
            </w:tcBorders>
            <w:shd w:val="clear" w:color="auto" w:fill="auto"/>
            <w:noWrap w:val="0"/>
            <w:vAlign w:val="center"/>
          </w:tcPr>
          <w:p w14:paraId="5B43A15E">
            <w:pPr>
              <w:spacing w:line="360" w:lineRule="exact"/>
              <w:jc w:val="center"/>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匹配</w:t>
            </w:r>
          </w:p>
        </w:tc>
        <w:tc>
          <w:tcPr>
            <w:tcW w:w="2589" w:type="dxa"/>
            <w:tcBorders>
              <w:top w:val="single" w:color="auto" w:sz="4" w:space="0"/>
              <w:left w:val="nil"/>
              <w:bottom w:val="single" w:color="auto" w:sz="4" w:space="0"/>
              <w:right w:val="single" w:color="auto" w:sz="4" w:space="0"/>
            </w:tcBorders>
            <w:shd w:val="clear" w:color="auto" w:fill="auto"/>
            <w:noWrap w:val="0"/>
            <w:vAlign w:val="center"/>
          </w:tcPr>
          <w:p w14:paraId="72232D3E">
            <w:pPr>
              <w:spacing w:line="36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部门中长期目标是否与部门职能相匹配</w:t>
            </w:r>
          </w:p>
        </w:tc>
        <w:tc>
          <w:tcPr>
            <w:tcW w:w="2160" w:type="dxa"/>
            <w:tcBorders>
              <w:top w:val="single" w:color="auto" w:sz="4" w:space="0"/>
              <w:left w:val="nil"/>
              <w:bottom w:val="single" w:color="auto" w:sz="4" w:space="0"/>
              <w:right w:val="single" w:color="auto" w:sz="4" w:space="0"/>
            </w:tcBorders>
            <w:shd w:val="clear" w:color="auto" w:fill="auto"/>
            <w:noWrap w:val="0"/>
            <w:vAlign w:val="center"/>
          </w:tcPr>
          <w:p w14:paraId="1E7E2AE1">
            <w:pPr>
              <w:spacing w:line="36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中长期目标与部门职能匹配得2分，否则不得分。</w:t>
            </w:r>
          </w:p>
        </w:tc>
        <w:tc>
          <w:tcPr>
            <w:tcW w:w="900" w:type="dxa"/>
            <w:tcBorders>
              <w:top w:val="single" w:color="auto" w:sz="4" w:space="0"/>
              <w:left w:val="nil"/>
              <w:bottom w:val="single" w:color="auto" w:sz="4" w:space="0"/>
              <w:right w:val="single" w:color="auto" w:sz="4" w:space="0"/>
            </w:tcBorders>
            <w:shd w:val="clear" w:color="auto" w:fill="auto"/>
            <w:noWrap w:val="0"/>
            <w:vAlign w:val="center"/>
          </w:tcPr>
          <w:p w14:paraId="73710801">
            <w:pPr>
              <w:spacing w:line="360" w:lineRule="exact"/>
              <w:jc w:val="center"/>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2</w:t>
            </w:r>
          </w:p>
        </w:tc>
        <w:tc>
          <w:tcPr>
            <w:tcW w:w="3741" w:type="dxa"/>
            <w:gridSpan w:val="2"/>
            <w:tcBorders>
              <w:top w:val="single" w:color="auto" w:sz="4" w:space="0"/>
              <w:left w:val="nil"/>
              <w:bottom w:val="single" w:color="auto" w:sz="4" w:space="0"/>
              <w:right w:val="single" w:color="auto" w:sz="4" w:space="0"/>
            </w:tcBorders>
            <w:shd w:val="clear" w:color="auto" w:fill="auto"/>
            <w:noWrap w:val="0"/>
            <w:vAlign w:val="center"/>
          </w:tcPr>
          <w:p w14:paraId="413E1FD1">
            <w:pPr>
              <w:spacing w:line="36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中长期目标与三定方案中的部门职能匹配。</w:t>
            </w:r>
          </w:p>
        </w:tc>
      </w:tr>
      <w:tr w14:paraId="4DD5AE72">
        <w:tblPrEx>
          <w:shd w:val="clear" w:color="auto" w:fill="auto"/>
          <w:tblCellMar>
            <w:top w:w="0" w:type="dxa"/>
            <w:left w:w="108" w:type="dxa"/>
            <w:bottom w:w="0" w:type="dxa"/>
            <w:right w:w="108" w:type="dxa"/>
          </w:tblCellMar>
        </w:tblPrEx>
        <w:trPr>
          <w:trHeight w:val="1244" w:hRule="atLeast"/>
          <w:jc w:val="center"/>
        </w:trPr>
        <w:tc>
          <w:tcPr>
            <w:tcW w:w="1181"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1F65DBB1">
            <w:pPr>
              <w:spacing w:line="360" w:lineRule="exact"/>
              <w:jc w:val="left"/>
              <w:rPr>
                <w:rFonts w:hint="eastAsia" w:ascii="方正仿宋简体" w:hAnsi="方正仿宋简体" w:eastAsia="方正仿宋简体" w:cs="方正仿宋简体"/>
                <w:color w:val="auto"/>
                <w:kern w:val="0"/>
                <w:sz w:val="24"/>
                <w:szCs w:val="24"/>
                <w:highlight w:val="none"/>
              </w:rPr>
            </w:pPr>
          </w:p>
        </w:tc>
        <w:tc>
          <w:tcPr>
            <w:tcW w:w="1216"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47B5F3A9">
            <w:pPr>
              <w:spacing w:line="36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A3年度工作目标</w:t>
            </w:r>
          </w:p>
          <w:p w14:paraId="4FA06838">
            <w:pPr>
              <w:spacing w:line="36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（4分）</w:t>
            </w:r>
          </w:p>
        </w:tc>
        <w:tc>
          <w:tcPr>
            <w:tcW w:w="14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076FD31">
            <w:pPr>
              <w:spacing w:line="36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A31年度工作目标明确性</w:t>
            </w:r>
          </w:p>
        </w:tc>
        <w:tc>
          <w:tcPr>
            <w:tcW w:w="655" w:type="dxa"/>
            <w:tcBorders>
              <w:top w:val="single" w:color="auto" w:sz="4" w:space="0"/>
              <w:left w:val="nil"/>
              <w:bottom w:val="single" w:color="auto" w:sz="4" w:space="0"/>
              <w:right w:val="single" w:color="auto" w:sz="4" w:space="0"/>
            </w:tcBorders>
            <w:shd w:val="clear" w:color="auto" w:fill="auto"/>
            <w:noWrap w:val="0"/>
            <w:vAlign w:val="center"/>
          </w:tcPr>
          <w:p w14:paraId="16A7482B">
            <w:pPr>
              <w:spacing w:line="360" w:lineRule="exact"/>
              <w:jc w:val="center"/>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2</w:t>
            </w:r>
          </w:p>
        </w:tc>
        <w:tc>
          <w:tcPr>
            <w:tcW w:w="1112" w:type="dxa"/>
            <w:tcBorders>
              <w:top w:val="single" w:color="auto" w:sz="4" w:space="0"/>
              <w:left w:val="nil"/>
              <w:bottom w:val="single" w:color="auto" w:sz="4" w:space="0"/>
              <w:right w:val="single" w:color="auto" w:sz="4" w:space="0"/>
            </w:tcBorders>
            <w:shd w:val="clear" w:color="auto" w:fill="auto"/>
            <w:noWrap w:val="0"/>
            <w:vAlign w:val="center"/>
          </w:tcPr>
          <w:p w14:paraId="72E31239">
            <w:pPr>
              <w:spacing w:line="360" w:lineRule="exact"/>
              <w:jc w:val="center"/>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具体</w:t>
            </w:r>
          </w:p>
        </w:tc>
        <w:tc>
          <w:tcPr>
            <w:tcW w:w="2589" w:type="dxa"/>
            <w:tcBorders>
              <w:top w:val="single" w:color="auto" w:sz="4" w:space="0"/>
              <w:left w:val="nil"/>
              <w:bottom w:val="single" w:color="auto" w:sz="4" w:space="0"/>
              <w:right w:val="single" w:color="auto" w:sz="4" w:space="0"/>
            </w:tcBorders>
            <w:shd w:val="clear" w:color="auto" w:fill="auto"/>
            <w:noWrap w:val="0"/>
            <w:vAlign w:val="center"/>
          </w:tcPr>
          <w:p w14:paraId="7CFEB7AC">
            <w:pPr>
              <w:spacing w:line="36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部门是否具有具体的年度工作目标</w:t>
            </w:r>
          </w:p>
        </w:tc>
        <w:tc>
          <w:tcPr>
            <w:tcW w:w="2160" w:type="dxa"/>
            <w:tcBorders>
              <w:top w:val="single" w:color="auto" w:sz="4" w:space="0"/>
              <w:left w:val="nil"/>
              <w:bottom w:val="single" w:color="auto" w:sz="4" w:space="0"/>
              <w:right w:val="single" w:color="auto" w:sz="4" w:space="0"/>
            </w:tcBorders>
            <w:shd w:val="clear" w:color="auto" w:fill="auto"/>
            <w:noWrap w:val="0"/>
            <w:vAlign w:val="center"/>
          </w:tcPr>
          <w:p w14:paraId="406413DC">
            <w:pPr>
              <w:spacing w:line="36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年度工作目标具体得1分，完整得1分。</w:t>
            </w:r>
          </w:p>
        </w:tc>
        <w:tc>
          <w:tcPr>
            <w:tcW w:w="900" w:type="dxa"/>
            <w:tcBorders>
              <w:top w:val="single" w:color="auto" w:sz="4" w:space="0"/>
              <w:left w:val="nil"/>
              <w:bottom w:val="single" w:color="auto" w:sz="4" w:space="0"/>
              <w:right w:val="single" w:color="auto" w:sz="4" w:space="0"/>
            </w:tcBorders>
            <w:shd w:val="clear" w:color="auto" w:fill="auto"/>
            <w:noWrap w:val="0"/>
            <w:vAlign w:val="center"/>
          </w:tcPr>
          <w:p w14:paraId="3AFCD033">
            <w:pPr>
              <w:spacing w:line="360" w:lineRule="exact"/>
              <w:jc w:val="center"/>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2</w:t>
            </w:r>
          </w:p>
        </w:tc>
        <w:tc>
          <w:tcPr>
            <w:tcW w:w="3741" w:type="dxa"/>
            <w:gridSpan w:val="2"/>
            <w:tcBorders>
              <w:top w:val="single" w:color="auto" w:sz="4" w:space="0"/>
              <w:left w:val="nil"/>
              <w:bottom w:val="single" w:color="auto" w:sz="4" w:space="0"/>
              <w:right w:val="single" w:color="auto" w:sz="4" w:space="0"/>
            </w:tcBorders>
            <w:shd w:val="clear" w:color="auto" w:fill="auto"/>
            <w:noWrap w:val="0"/>
            <w:vAlign w:val="center"/>
          </w:tcPr>
          <w:p w14:paraId="4D2DFEE6">
            <w:pPr>
              <w:spacing w:line="320" w:lineRule="exact"/>
              <w:jc w:val="left"/>
              <w:rPr>
                <w:rFonts w:hint="eastAsia" w:ascii="方正仿宋简体" w:hAnsi="方正仿宋简体" w:eastAsia="方正仿宋简体" w:cs="方正仿宋简体"/>
                <w:color w:val="auto"/>
                <w:kern w:val="0"/>
                <w:sz w:val="24"/>
                <w:szCs w:val="24"/>
                <w:highlight w:val="none"/>
                <w:lang w:eastAsia="zh-CN"/>
              </w:rPr>
            </w:pPr>
            <w:r>
              <w:rPr>
                <w:rFonts w:hint="eastAsia" w:ascii="方正仿宋简体" w:hAnsi="方正仿宋简体" w:eastAsia="方正仿宋简体" w:cs="方正仿宋简体"/>
                <w:color w:val="auto"/>
                <w:kern w:val="0"/>
                <w:sz w:val="24"/>
                <w:szCs w:val="24"/>
                <w:highlight w:val="none"/>
              </w:rPr>
              <w:t>中心年度工作目标内容总体明确，部门、项目目标清晰，有目标责任书。</w:t>
            </w:r>
          </w:p>
        </w:tc>
      </w:tr>
      <w:tr w14:paraId="52DA80A5">
        <w:tblPrEx>
          <w:shd w:val="clear" w:color="auto" w:fill="auto"/>
          <w:tblCellMar>
            <w:top w:w="0" w:type="dxa"/>
            <w:left w:w="108" w:type="dxa"/>
            <w:bottom w:w="0" w:type="dxa"/>
            <w:right w:w="108" w:type="dxa"/>
          </w:tblCellMar>
        </w:tblPrEx>
        <w:trPr>
          <w:trHeight w:val="1619" w:hRule="atLeast"/>
          <w:jc w:val="center"/>
        </w:trPr>
        <w:tc>
          <w:tcPr>
            <w:tcW w:w="1181"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5D809CD3">
            <w:pPr>
              <w:spacing w:line="360" w:lineRule="exact"/>
              <w:jc w:val="left"/>
              <w:rPr>
                <w:rFonts w:hint="eastAsia" w:ascii="方正仿宋简体" w:hAnsi="方正仿宋简体" w:eastAsia="方正仿宋简体" w:cs="方正仿宋简体"/>
                <w:color w:val="auto"/>
                <w:kern w:val="0"/>
                <w:sz w:val="24"/>
                <w:szCs w:val="24"/>
                <w:highlight w:val="none"/>
              </w:rPr>
            </w:pPr>
          </w:p>
        </w:tc>
        <w:tc>
          <w:tcPr>
            <w:tcW w:w="12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40C79C26">
            <w:pPr>
              <w:spacing w:line="360" w:lineRule="exact"/>
              <w:jc w:val="left"/>
              <w:rPr>
                <w:rFonts w:hint="eastAsia" w:ascii="方正仿宋简体" w:hAnsi="方正仿宋简体" w:eastAsia="方正仿宋简体" w:cs="方正仿宋简体"/>
                <w:color w:val="auto"/>
                <w:kern w:val="0"/>
                <w:sz w:val="24"/>
                <w:szCs w:val="24"/>
                <w:highlight w:val="none"/>
              </w:rPr>
            </w:pPr>
          </w:p>
        </w:tc>
        <w:tc>
          <w:tcPr>
            <w:tcW w:w="14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0080D83">
            <w:pPr>
              <w:spacing w:line="36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A32绩效指标科学性合理性</w:t>
            </w:r>
          </w:p>
        </w:tc>
        <w:tc>
          <w:tcPr>
            <w:tcW w:w="655" w:type="dxa"/>
            <w:tcBorders>
              <w:top w:val="single" w:color="auto" w:sz="4" w:space="0"/>
              <w:left w:val="nil"/>
              <w:bottom w:val="single" w:color="auto" w:sz="4" w:space="0"/>
              <w:right w:val="single" w:color="auto" w:sz="4" w:space="0"/>
            </w:tcBorders>
            <w:shd w:val="clear" w:color="auto" w:fill="auto"/>
            <w:noWrap w:val="0"/>
            <w:vAlign w:val="center"/>
          </w:tcPr>
          <w:p w14:paraId="4AE3151A">
            <w:pPr>
              <w:spacing w:line="360" w:lineRule="exact"/>
              <w:jc w:val="center"/>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2</w:t>
            </w:r>
          </w:p>
        </w:tc>
        <w:tc>
          <w:tcPr>
            <w:tcW w:w="1112" w:type="dxa"/>
            <w:tcBorders>
              <w:top w:val="single" w:color="auto" w:sz="4" w:space="0"/>
              <w:left w:val="nil"/>
              <w:bottom w:val="single" w:color="auto" w:sz="4" w:space="0"/>
              <w:right w:val="single" w:color="auto" w:sz="4" w:space="0"/>
            </w:tcBorders>
            <w:shd w:val="clear" w:color="auto" w:fill="auto"/>
            <w:noWrap w:val="0"/>
            <w:vAlign w:val="center"/>
          </w:tcPr>
          <w:p w14:paraId="21D1608B">
            <w:pPr>
              <w:spacing w:line="360" w:lineRule="exact"/>
              <w:jc w:val="center"/>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科学合理</w:t>
            </w:r>
          </w:p>
        </w:tc>
        <w:tc>
          <w:tcPr>
            <w:tcW w:w="2589" w:type="dxa"/>
            <w:tcBorders>
              <w:top w:val="single" w:color="auto" w:sz="4" w:space="0"/>
              <w:left w:val="nil"/>
              <w:bottom w:val="single" w:color="auto" w:sz="4" w:space="0"/>
              <w:right w:val="single" w:color="auto" w:sz="4" w:space="0"/>
            </w:tcBorders>
            <w:shd w:val="clear" w:color="auto" w:fill="auto"/>
            <w:noWrap w:val="0"/>
            <w:vAlign w:val="center"/>
          </w:tcPr>
          <w:p w14:paraId="36187423">
            <w:pPr>
              <w:spacing w:line="36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绩效指标是否可衡量、是否与年度工作任务匹配</w:t>
            </w:r>
          </w:p>
        </w:tc>
        <w:tc>
          <w:tcPr>
            <w:tcW w:w="2160" w:type="dxa"/>
            <w:tcBorders>
              <w:top w:val="single" w:color="auto" w:sz="4" w:space="0"/>
              <w:left w:val="nil"/>
              <w:bottom w:val="single" w:color="auto" w:sz="4" w:space="0"/>
              <w:right w:val="single" w:color="auto" w:sz="4" w:space="0"/>
            </w:tcBorders>
            <w:shd w:val="clear" w:color="auto" w:fill="auto"/>
            <w:noWrap w:val="0"/>
            <w:vAlign w:val="center"/>
          </w:tcPr>
          <w:p w14:paraId="7E263049">
            <w:pPr>
              <w:spacing w:line="36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绩效指标可衡量得1分，匹配得1分，酌情扣分。</w:t>
            </w:r>
          </w:p>
        </w:tc>
        <w:tc>
          <w:tcPr>
            <w:tcW w:w="900" w:type="dxa"/>
            <w:tcBorders>
              <w:top w:val="single" w:color="auto" w:sz="4" w:space="0"/>
              <w:left w:val="nil"/>
              <w:bottom w:val="single" w:color="auto" w:sz="4" w:space="0"/>
              <w:right w:val="single" w:color="auto" w:sz="4" w:space="0"/>
            </w:tcBorders>
            <w:shd w:val="clear" w:color="auto" w:fill="auto"/>
            <w:noWrap w:val="0"/>
            <w:vAlign w:val="center"/>
          </w:tcPr>
          <w:p w14:paraId="050EAC7F">
            <w:pPr>
              <w:spacing w:line="360" w:lineRule="exact"/>
              <w:jc w:val="center"/>
              <w:rPr>
                <w:rFonts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1.5</w:t>
            </w:r>
          </w:p>
        </w:tc>
        <w:tc>
          <w:tcPr>
            <w:tcW w:w="3741" w:type="dxa"/>
            <w:gridSpan w:val="2"/>
            <w:tcBorders>
              <w:top w:val="single" w:color="auto" w:sz="4" w:space="0"/>
              <w:left w:val="nil"/>
              <w:bottom w:val="single" w:color="auto" w:sz="4" w:space="0"/>
              <w:right w:val="single" w:color="auto" w:sz="4" w:space="0"/>
            </w:tcBorders>
            <w:shd w:val="clear" w:color="auto" w:fill="auto"/>
            <w:noWrap w:val="0"/>
            <w:vAlign w:val="center"/>
          </w:tcPr>
          <w:p w14:paraId="3F87F4AD">
            <w:pPr>
              <w:shd w:val="clear"/>
              <w:spacing w:line="320" w:lineRule="exact"/>
              <w:jc w:val="left"/>
              <w:rPr>
                <w:rFonts w:hint="eastAsia" w:ascii="方正仿宋简体" w:hAnsi="方正仿宋简体" w:eastAsia="方正仿宋简体" w:cs="方正仿宋简体"/>
                <w:color w:val="auto"/>
                <w:kern w:val="0"/>
                <w:sz w:val="24"/>
                <w:szCs w:val="24"/>
                <w:highlight w:val="none"/>
              </w:rPr>
            </w:pPr>
            <w:r>
              <w:rPr>
                <w:rFonts w:hint="default" w:ascii="方正仿宋简体" w:hAnsi="方正仿宋简体" w:eastAsia="方正仿宋简体" w:cs="方正仿宋简体"/>
                <w:color w:val="auto"/>
                <w:kern w:val="0"/>
                <w:sz w:val="24"/>
                <w:szCs w:val="24"/>
                <w:highlight w:val="none"/>
              </w:rPr>
              <w:t>绩效指标设置可衡量，与已设定的年度工作任务基本匹配，但未能</w:t>
            </w:r>
            <w:r>
              <w:rPr>
                <w:rFonts w:hint="eastAsia" w:ascii="方正仿宋简体" w:hAnsi="方正仿宋简体" w:eastAsia="方正仿宋简体" w:cs="方正仿宋简体"/>
                <w:color w:val="auto"/>
                <w:kern w:val="0"/>
                <w:sz w:val="24"/>
                <w:szCs w:val="24"/>
                <w:highlight w:val="none"/>
                <w:lang w:val="en-US" w:eastAsia="zh-CN"/>
              </w:rPr>
              <w:t>完全反映全年重点工作任务</w:t>
            </w:r>
            <w:r>
              <w:rPr>
                <w:rFonts w:hint="default" w:ascii="方正仿宋简体" w:hAnsi="方正仿宋简体" w:eastAsia="方正仿宋简体" w:cs="方正仿宋简体"/>
                <w:color w:val="auto"/>
                <w:kern w:val="0"/>
                <w:sz w:val="24"/>
                <w:szCs w:val="24"/>
                <w:highlight w:val="none"/>
              </w:rPr>
              <w:t>，</w:t>
            </w:r>
            <w:r>
              <w:rPr>
                <w:rFonts w:hint="eastAsia" w:ascii="方正仿宋简体" w:hAnsi="方正仿宋简体" w:eastAsia="方正仿宋简体" w:cs="方正仿宋简体"/>
                <w:color w:val="auto"/>
                <w:kern w:val="0"/>
                <w:sz w:val="24"/>
                <w:szCs w:val="24"/>
                <w:highlight w:val="none"/>
                <w:lang w:val="en-US" w:eastAsia="zh-CN"/>
              </w:rPr>
              <w:t>匹配性</w:t>
            </w:r>
            <w:r>
              <w:rPr>
                <w:rFonts w:hint="default" w:ascii="方正仿宋简体" w:hAnsi="方正仿宋简体" w:eastAsia="方正仿宋简体" w:cs="方正仿宋简体"/>
                <w:color w:val="auto"/>
                <w:kern w:val="0"/>
                <w:sz w:val="24"/>
                <w:szCs w:val="24"/>
                <w:highlight w:val="none"/>
              </w:rPr>
              <w:t>有待进一步提高，酌情扣0.5分。</w:t>
            </w:r>
          </w:p>
        </w:tc>
      </w:tr>
      <w:tr w14:paraId="63E18540">
        <w:tblPrEx>
          <w:tblCellMar>
            <w:top w:w="0" w:type="dxa"/>
            <w:left w:w="108" w:type="dxa"/>
            <w:bottom w:w="0" w:type="dxa"/>
            <w:right w:w="108" w:type="dxa"/>
          </w:tblCellMar>
        </w:tblPrEx>
        <w:trPr>
          <w:trHeight w:val="1894" w:hRule="atLeast"/>
          <w:jc w:val="center"/>
        </w:trPr>
        <w:tc>
          <w:tcPr>
            <w:tcW w:w="1181"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714F6B69">
            <w:pPr>
              <w:spacing w:line="360" w:lineRule="exact"/>
              <w:jc w:val="left"/>
              <w:rPr>
                <w:rFonts w:hint="eastAsia" w:ascii="方正仿宋简体" w:hAnsi="方正仿宋简体" w:eastAsia="方正仿宋简体" w:cs="方正仿宋简体"/>
                <w:color w:val="auto"/>
                <w:kern w:val="0"/>
                <w:sz w:val="24"/>
                <w:szCs w:val="24"/>
                <w:highlight w:val="none"/>
              </w:rPr>
            </w:pPr>
          </w:p>
        </w:tc>
        <w:tc>
          <w:tcPr>
            <w:tcW w:w="1216"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31079FD1">
            <w:pPr>
              <w:spacing w:line="36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A4部门预算编制</w:t>
            </w:r>
          </w:p>
          <w:p w14:paraId="5F845D62">
            <w:pPr>
              <w:spacing w:line="36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（4分）</w:t>
            </w:r>
          </w:p>
        </w:tc>
        <w:tc>
          <w:tcPr>
            <w:tcW w:w="14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D6061C0">
            <w:pPr>
              <w:spacing w:line="36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A41预算编制科学规范</w:t>
            </w:r>
          </w:p>
        </w:tc>
        <w:tc>
          <w:tcPr>
            <w:tcW w:w="655" w:type="dxa"/>
            <w:tcBorders>
              <w:top w:val="single" w:color="auto" w:sz="4" w:space="0"/>
              <w:left w:val="nil"/>
              <w:bottom w:val="single" w:color="auto" w:sz="4" w:space="0"/>
              <w:right w:val="single" w:color="auto" w:sz="4" w:space="0"/>
            </w:tcBorders>
            <w:shd w:val="clear" w:color="auto" w:fill="auto"/>
            <w:noWrap w:val="0"/>
            <w:vAlign w:val="center"/>
          </w:tcPr>
          <w:p w14:paraId="3769E63A">
            <w:pPr>
              <w:spacing w:line="360" w:lineRule="exact"/>
              <w:jc w:val="center"/>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2</w:t>
            </w:r>
          </w:p>
        </w:tc>
        <w:tc>
          <w:tcPr>
            <w:tcW w:w="1112" w:type="dxa"/>
            <w:tcBorders>
              <w:top w:val="single" w:color="auto" w:sz="4" w:space="0"/>
              <w:left w:val="nil"/>
              <w:bottom w:val="single" w:color="auto" w:sz="4" w:space="0"/>
              <w:right w:val="single" w:color="auto" w:sz="4" w:space="0"/>
            </w:tcBorders>
            <w:shd w:val="clear" w:color="auto" w:fill="auto"/>
            <w:noWrap w:val="0"/>
            <w:vAlign w:val="center"/>
          </w:tcPr>
          <w:p w14:paraId="007C7DA4">
            <w:pPr>
              <w:spacing w:line="360" w:lineRule="exact"/>
              <w:jc w:val="center"/>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规范</w:t>
            </w:r>
          </w:p>
        </w:tc>
        <w:tc>
          <w:tcPr>
            <w:tcW w:w="2589" w:type="dxa"/>
            <w:tcBorders>
              <w:top w:val="single" w:color="auto" w:sz="4" w:space="0"/>
              <w:left w:val="nil"/>
              <w:bottom w:val="single" w:color="auto" w:sz="4" w:space="0"/>
              <w:right w:val="single" w:color="auto" w:sz="4" w:space="0"/>
            </w:tcBorders>
            <w:shd w:val="clear" w:color="auto" w:fill="auto"/>
            <w:noWrap w:val="0"/>
            <w:vAlign w:val="center"/>
          </w:tcPr>
          <w:p w14:paraId="7F15A7CB">
            <w:pPr>
              <w:spacing w:line="34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内部预算编制是否有相应的制度保障，编制流程是否科学规范，执行是否有效</w:t>
            </w:r>
          </w:p>
        </w:tc>
        <w:tc>
          <w:tcPr>
            <w:tcW w:w="2160" w:type="dxa"/>
            <w:tcBorders>
              <w:top w:val="single" w:color="auto" w:sz="4" w:space="0"/>
              <w:left w:val="nil"/>
              <w:bottom w:val="single" w:color="auto" w:sz="4" w:space="0"/>
              <w:right w:val="single" w:color="auto" w:sz="4" w:space="0"/>
            </w:tcBorders>
            <w:shd w:val="clear" w:color="auto" w:fill="auto"/>
            <w:noWrap w:val="0"/>
            <w:vAlign w:val="center"/>
          </w:tcPr>
          <w:p w14:paraId="7E1A67FF">
            <w:pPr>
              <w:spacing w:line="36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预算编制有相应的制度保障得1分，编制流程规范得1分。</w:t>
            </w:r>
          </w:p>
        </w:tc>
        <w:tc>
          <w:tcPr>
            <w:tcW w:w="900" w:type="dxa"/>
            <w:tcBorders>
              <w:top w:val="single" w:color="auto" w:sz="4" w:space="0"/>
              <w:left w:val="nil"/>
              <w:bottom w:val="single" w:color="auto" w:sz="4" w:space="0"/>
              <w:right w:val="single" w:color="auto" w:sz="4" w:space="0"/>
            </w:tcBorders>
            <w:shd w:val="clear" w:color="auto" w:fill="auto"/>
            <w:noWrap w:val="0"/>
            <w:vAlign w:val="center"/>
          </w:tcPr>
          <w:p w14:paraId="71843AB8">
            <w:pPr>
              <w:spacing w:line="360" w:lineRule="exact"/>
              <w:jc w:val="center"/>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2</w:t>
            </w:r>
          </w:p>
        </w:tc>
        <w:tc>
          <w:tcPr>
            <w:tcW w:w="3741" w:type="dxa"/>
            <w:gridSpan w:val="2"/>
            <w:tcBorders>
              <w:top w:val="single" w:color="auto" w:sz="4" w:space="0"/>
              <w:left w:val="nil"/>
              <w:bottom w:val="single" w:color="auto" w:sz="4" w:space="0"/>
              <w:right w:val="single" w:color="auto" w:sz="4" w:space="0"/>
            </w:tcBorders>
            <w:shd w:val="clear" w:color="auto" w:fill="auto"/>
            <w:noWrap w:val="0"/>
            <w:vAlign w:val="center"/>
          </w:tcPr>
          <w:p w14:paraId="3B76D5FC">
            <w:pPr>
              <w:spacing w:line="36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预算编制根据中心的《预算业务管理制度》等进行预算管理，编制流程规范，符合财政部门相关要求</w:t>
            </w:r>
            <w:r>
              <w:rPr>
                <w:rFonts w:hint="eastAsia" w:ascii="方正仿宋简体" w:hAnsi="方正仿宋简体" w:eastAsia="方正仿宋简体" w:cs="方正仿宋简体"/>
                <w:color w:val="auto"/>
                <w:sz w:val="24"/>
                <w:szCs w:val="24"/>
                <w:highlight w:val="none"/>
              </w:rPr>
              <w:t>。</w:t>
            </w:r>
          </w:p>
        </w:tc>
      </w:tr>
      <w:tr w14:paraId="6DA83FB5">
        <w:tblPrEx>
          <w:tblCellMar>
            <w:top w:w="0" w:type="dxa"/>
            <w:left w:w="108" w:type="dxa"/>
            <w:bottom w:w="0" w:type="dxa"/>
            <w:right w:w="108" w:type="dxa"/>
          </w:tblCellMar>
        </w:tblPrEx>
        <w:trPr>
          <w:trHeight w:val="2126" w:hRule="atLeast"/>
          <w:jc w:val="center"/>
        </w:trPr>
        <w:tc>
          <w:tcPr>
            <w:tcW w:w="1181"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4EA816F2">
            <w:pPr>
              <w:spacing w:line="360" w:lineRule="exact"/>
              <w:jc w:val="left"/>
              <w:rPr>
                <w:rFonts w:hint="eastAsia" w:ascii="方正仿宋简体" w:hAnsi="方正仿宋简体" w:eastAsia="方正仿宋简体" w:cs="方正仿宋简体"/>
                <w:color w:val="auto"/>
                <w:kern w:val="0"/>
                <w:sz w:val="24"/>
                <w:szCs w:val="24"/>
                <w:highlight w:val="none"/>
              </w:rPr>
            </w:pPr>
          </w:p>
        </w:tc>
        <w:tc>
          <w:tcPr>
            <w:tcW w:w="12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769B52D9">
            <w:pPr>
              <w:spacing w:line="360" w:lineRule="exact"/>
              <w:jc w:val="left"/>
              <w:rPr>
                <w:rFonts w:hint="eastAsia" w:ascii="方正仿宋简体" w:hAnsi="方正仿宋简体" w:eastAsia="方正仿宋简体" w:cs="方正仿宋简体"/>
                <w:color w:val="auto"/>
                <w:kern w:val="0"/>
                <w:sz w:val="24"/>
                <w:szCs w:val="24"/>
                <w:highlight w:val="none"/>
              </w:rPr>
            </w:pPr>
          </w:p>
        </w:tc>
        <w:tc>
          <w:tcPr>
            <w:tcW w:w="14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ABDEADA">
            <w:pPr>
              <w:spacing w:line="36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A42预算编制与重点工作任务的匹配性</w:t>
            </w:r>
          </w:p>
        </w:tc>
        <w:tc>
          <w:tcPr>
            <w:tcW w:w="655" w:type="dxa"/>
            <w:tcBorders>
              <w:top w:val="single" w:color="auto" w:sz="4" w:space="0"/>
              <w:left w:val="nil"/>
              <w:bottom w:val="single" w:color="auto" w:sz="4" w:space="0"/>
              <w:right w:val="single" w:color="auto" w:sz="4" w:space="0"/>
            </w:tcBorders>
            <w:shd w:val="clear" w:color="auto" w:fill="auto"/>
            <w:noWrap w:val="0"/>
            <w:vAlign w:val="center"/>
          </w:tcPr>
          <w:p w14:paraId="6B96A068">
            <w:pPr>
              <w:spacing w:line="360" w:lineRule="exact"/>
              <w:jc w:val="center"/>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2</w:t>
            </w:r>
          </w:p>
        </w:tc>
        <w:tc>
          <w:tcPr>
            <w:tcW w:w="1112" w:type="dxa"/>
            <w:tcBorders>
              <w:top w:val="single" w:color="auto" w:sz="4" w:space="0"/>
              <w:left w:val="nil"/>
              <w:bottom w:val="single" w:color="auto" w:sz="4" w:space="0"/>
              <w:right w:val="single" w:color="auto" w:sz="4" w:space="0"/>
            </w:tcBorders>
            <w:shd w:val="clear" w:color="auto" w:fill="auto"/>
            <w:noWrap w:val="0"/>
            <w:vAlign w:val="center"/>
          </w:tcPr>
          <w:p w14:paraId="56CC02DB">
            <w:pPr>
              <w:spacing w:line="360" w:lineRule="exact"/>
              <w:jc w:val="center"/>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匹配</w:t>
            </w:r>
          </w:p>
        </w:tc>
        <w:tc>
          <w:tcPr>
            <w:tcW w:w="2589" w:type="dxa"/>
            <w:tcBorders>
              <w:top w:val="single" w:color="auto" w:sz="4" w:space="0"/>
              <w:left w:val="nil"/>
              <w:bottom w:val="single" w:color="auto" w:sz="4" w:space="0"/>
              <w:right w:val="single" w:color="auto" w:sz="4" w:space="0"/>
            </w:tcBorders>
            <w:shd w:val="clear" w:color="auto" w:fill="auto"/>
            <w:noWrap w:val="0"/>
            <w:vAlign w:val="center"/>
          </w:tcPr>
          <w:p w14:paraId="738B6CE2">
            <w:pPr>
              <w:spacing w:line="36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预算编制与重点工作是否相匹配</w:t>
            </w:r>
          </w:p>
        </w:tc>
        <w:tc>
          <w:tcPr>
            <w:tcW w:w="2160" w:type="dxa"/>
            <w:tcBorders>
              <w:top w:val="single" w:color="auto" w:sz="4" w:space="0"/>
              <w:left w:val="nil"/>
              <w:bottom w:val="single" w:color="auto" w:sz="4" w:space="0"/>
              <w:right w:val="single" w:color="auto" w:sz="4" w:space="0"/>
            </w:tcBorders>
            <w:shd w:val="clear" w:color="auto" w:fill="auto"/>
            <w:noWrap w:val="0"/>
            <w:vAlign w:val="center"/>
          </w:tcPr>
          <w:p w14:paraId="159B4E6E">
            <w:pPr>
              <w:spacing w:line="36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预算编制与重点工作任务相匹配得满分，否则不得分。</w:t>
            </w:r>
          </w:p>
        </w:tc>
        <w:tc>
          <w:tcPr>
            <w:tcW w:w="900" w:type="dxa"/>
            <w:tcBorders>
              <w:top w:val="single" w:color="auto" w:sz="4" w:space="0"/>
              <w:left w:val="nil"/>
              <w:bottom w:val="single" w:color="auto" w:sz="4" w:space="0"/>
              <w:right w:val="single" w:color="auto" w:sz="4" w:space="0"/>
            </w:tcBorders>
            <w:shd w:val="clear" w:color="auto" w:fill="auto"/>
            <w:noWrap w:val="0"/>
            <w:vAlign w:val="center"/>
          </w:tcPr>
          <w:p w14:paraId="14E17FB0">
            <w:pPr>
              <w:spacing w:line="360" w:lineRule="exact"/>
              <w:jc w:val="center"/>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2</w:t>
            </w:r>
          </w:p>
        </w:tc>
        <w:tc>
          <w:tcPr>
            <w:tcW w:w="3741" w:type="dxa"/>
            <w:gridSpan w:val="2"/>
            <w:tcBorders>
              <w:top w:val="single" w:color="auto" w:sz="4" w:space="0"/>
              <w:left w:val="nil"/>
              <w:bottom w:val="single" w:color="auto" w:sz="4" w:space="0"/>
              <w:right w:val="single" w:color="auto" w:sz="4" w:space="0"/>
            </w:tcBorders>
            <w:shd w:val="clear" w:color="auto" w:fill="auto"/>
            <w:noWrap w:val="0"/>
            <w:vAlign w:val="center"/>
          </w:tcPr>
          <w:p w14:paraId="71966074">
            <w:pPr>
              <w:spacing w:line="36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中心提供的</w:t>
            </w:r>
            <w:r>
              <w:rPr>
                <w:rFonts w:hint="eastAsia" w:ascii="方正仿宋简体" w:hAnsi="方正仿宋简体" w:eastAsia="方正仿宋简体" w:cs="方正仿宋简体"/>
                <w:color w:val="auto"/>
                <w:kern w:val="0"/>
                <w:sz w:val="24"/>
                <w:szCs w:val="24"/>
                <w:highlight w:val="none"/>
                <w:lang w:eastAsia="zh-CN"/>
              </w:rPr>
              <w:t>2025</w:t>
            </w:r>
            <w:r>
              <w:rPr>
                <w:rFonts w:hint="eastAsia" w:ascii="方正仿宋简体" w:hAnsi="方正仿宋简体" w:eastAsia="方正仿宋简体" w:cs="方正仿宋简体"/>
                <w:color w:val="auto"/>
                <w:kern w:val="0"/>
                <w:sz w:val="24"/>
                <w:szCs w:val="24"/>
                <w:highlight w:val="none"/>
              </w:rPr>
              <w:t>年预算草案编制情况的说明及经市财政局批复的预算报告，均能反映出预算编制与重点工作任务相匹配。</w:t>
            </w:r>
          </w:p>
        </w:tc>
      </w:tr>
      <w:tr w14:paraId="078DFB27">
        <w:tblPrEx>
          <w:shd w:val="clear" w:color="auto" w:fill="auto"/>
          <w:tblCellMar>
            <w:top w:w="0" w:type="dxa"/>
            <w:left w:w="108" w:type="dxa"/>
            <w:bottom w:w="0" w:type="dxa"/>
            <w:right w:w="108" w:type="dxa"/>
          </w:tblCellMar>
        </w:tblPrEx>
        <w:trPr>
          <w:trHeight w:val="325" w:hRule="atLeast"/>
          <w:jc w:val="center"/>
        </w:trPr>
        <w:tc>
          <w:tcPr>
            <w:tcW w:w="1181"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00C8DB54">
            <w:pPr>
              <w:spacing w:line="360" w:lineRule="exact"/>
              <w:jc w:val="center"/>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B部门管理（20分）</w:t>
            </w:r>
          </w:p>
        </w:tc>
        <w:tc>
          <w:tcPr>
            <w:tcW w:w="1216"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4AC916AF">
            <w:pPr>
              <w:spacing w:line="36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B1预算执行</w:t>
            </w:r>
          </w:p>
          <w:p w14:paraId="7FBAF24D">
            <w:pPr>
              <w:spacing w:line="36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（6分）</w:t>
            </w:r>
          </w:p>
        </w:tc>
        <w:tc>
          <w:tcPr>
            <w:tcW w:w="14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66533AE">
            <w:pPr>
              <w:spacing w:line="36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B11部门预算执行率</w:t>
            </w:r>
          </w:p>
        </w:tc>
        <w:tc>
          <w:tcPr>
            <w:tcW w:w="65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D280261">
            <w:pPr>
              <w:spacing w:line="360" w:lineRule="exact"/>
              <w:jc w:val="center"/>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2</w:t>
            </w:r>
          </w:p>
        </w:tc>
        <w:tc>
          <w:tcPr>
            <w:tcW w:w="111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811037C">
            <w:pPr>
              <w:spacing w:line="360" w:lineRule="exact"/>
              <w:jc w:val="center"/>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sz w:val="24"/>
                <w:szCs w:val="24"/>
                <w:highlight w:val="none"/>
                <w:shd w:val="clear" w:color="auto" w:fill="FFFFFF"/>
              </w:rPr>
              <w:t>≥</w:t>
            </w:r>
            <w:r>
              <w:rPr>
                <w:rFonts w:hint="eastAsia" w:ascii="方正仿宋简体" w:hAnsi="方正仿宋简体" w:eastAsia="方正仿宋简体" w:cs="方正仿宋简体"/>
                <w:color w:val="auto"/>
                <w:kern w:val="0"/>
                <w:sz w:val="24"/>
                <w:szCs w:val="24"/>
                <w:highlight w:val="none"/>
              </w:rPr>
              <w:t>100%</w:t>
            </w:r>
          </w:p>
        </w:tc>
        <w:tc>
          <w:tcPr>
            <w:tcW w:w="258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7F9951D">
            <w:pPr>
              <w:spacing w:line="36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部门预算执行率是否按照预算执行，用以反映或考核项目预算执行情况</w:t>
            </w:r>
          </w:p>
        </w:tc>
        <w:tc>
          <w:tcPr>
            <w:tcW w:w="21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CD0C343">
            <w:pPr>
              <w:spacing w:line="36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预算执行率=（实际支出资金/调整后预算资金</w:t>
            </w:r>
            <w:r>
              <w:rPr>
                <w:rFonts w:hint="eastAsia" w:ascii="方正仿宋简体" w:hAnsi="方正仿宋简体" w:eastAsia="方正仿宋简体" w:cs="方正仿宋简体"/>
                <w:color w:val="auto"/>
                <w:spacing w:val="-6"/>
                <w:kern w:val="0"/>
                <w:sz w:val="24"/>
                <w:szCs w:val="24"/>
                <w:highlight w:val="none"/>
              </w:rPr>
              <w:t>）×100%。实际支出资金：一定时期（本年度或项目期）内项目实际拨付的资金。预算执行率100</w:t>
            </w:r>
            <w:r>
              <w:rPr>
                <w:rFonts w:hint="eastAsia" w:ascii="方正仿宋简体" w:hAnsi="方正仿宋简体" w:eastAsia="方正仿宋简体" w:cs="方正仿宋简体"/>
                <w:color w:val="auto"/>
                <w:kern w:val="0"/>
                <w:sz w:val="24"/>
                <w:szCs w:val="24"/>
                <w:highlight w:val="none"/>
              </w:rPr>
              <w:t>%得满分；预</w:t>
            </w:r>
            <w:r>
              <w:rPr>
                <w:rFonts w:hint="eastAsia" w:ascii="方正仿宋简体" w:hAnsi="方正仿宋简体" w:eastAsia="方正仿宋简体" w:cs="方正仿宋简体"/>
                <w:color w:val="auto"/>
                <w:spacing w:val="-6"/>
                <w:kern w:val="0"/>
                <w:sz w:val="24"/>
                <w:szCs w:val="24"/>
                <w:highlight w:val="none"/>
              </w:rPr>
              <w:t>算执行率每降低1%，扣权重分的2.5%，</w:t>
            </w:r>
            <w:r>
              <w:rPr>
                <w:rFonts w:hint="eastAsia" w:ascii="方正仿宋简体" w:hAnsi="方正仿宋简体" w:eastAsia="方正仿宋简体" w:cs="方正仿宋简体"/>
                <w:color w:val="auto"/>
                <w:kern w:val="0"/>
                <w:sz w:val="24"/>
                <w:szCs w:val="24"/>
                <w:highlight w:val="none"/>
              </w:rPr>
              <w:t>扣完为止。</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696B033">
            <w:pPr>
              <w:spacing w:line="360" w:lineRule="exact"/>
              <w:jc w:val="center"/>
              <w:rPr>
                <w:rFonts w:hint="eastAsia" w:ascii="方正仿宋简体" w:hAnsi="方正仿宋简体" w:eastAsia="方正仿宋简体" w:cs="方正仿宋简体"/>
                <w:color w:val="auto"/>
                <w:kern w:val="0"/>
                <w:sz w:val="24"/>
                <w:szCs w:val="24"/>
                <w:highlight w:val="none"/>
                <w:lang w:val="en-US" w:eastAsia="zh-CN"/>
              </w:rPr>
            </w:pPr>
            <w:r>
              <w:rPr>
                <w:rFonts w:hint="eastAsia" w:ascii="方正仿宋简体" w:hAnsi="方正仿宋简体" w:eastAsia="方正仿宋简体" w:cs="方正仿宋简体"/>
                <w:color w:val="auto"/>
                <w:kern w:val="0"/>
                <w:sz w:val="24"/>
                <w:szCs w:val="24"/>
                <w:highlight w:val="none"/>
                <w:lang w:val="en-US" w:eastAsia="zh-CN"/>
              </w:rPr>
              <w:t>2</w:t>
            </w:r>
          </w:p>
        </w:tc>
        <w:tc>
          <w:tcPr>
            <w:tcW w:w="374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630DBB1C">
            <w:pPr>
              <w:shd w:val="clear"/>
              <w:spacing w:line="320" w:lineRule="exact"/>
              <w:jc w:val="left"/>
              <w:rPr>
                <w:rFonts w:hint="default" w:ascii="方正仿宋简体" w:hAnsi="方正仿宋简体" w:eastAsia="方正仿宋简体" w:cs="方正仿宋简体"/>
                <w:color w:val="auto"/>
                <w:kern w:val="0"/>
                <w:sz w:val="24"/>
                <w:szCs w:val="24"/>
                <w:highlight w:val="none"/>
                <w:lang w:val="en-US" w:eastAsia="zh-CN"/>
              </w:rPr>
            </w:pPr>
            <w:r>
              <w:rPr>
                <w:rFonts w:hint="eastAsia" w:ascii="方正仿宋简体" w:hAnsi="方正仿宋简体" w:eastAsia="方正仿宋简体" w:cs="方正仿宋简体"/>
                <w:color w:val="auto"/>
                <w:kern w:val="0"/>
                <w:sz w:val="24"/>
                <w:szCs w:val="24"/>
                <w:highlight w:val="none"/>
                <w:lang w:val="en-US" w:eastAsia="zh-CN"/>
              </w:rPr>
              <w:t>根据财政要求，年中追加了部分基本支出和项目支出预算，调整预算执行率为100%。</w:t>
            </w:r>
          </w:p>
        </w:tc>
      </w:tr>
      <w:tr w14:paraId="35171897">
        <w:tblPrEx>
          <w:shd w:val="clear" w:color="auto" w:fill="auto"/>
          <w:tblCellMar>
            <w:top w:w="0" w:type="dxa"/>
            <w:left w:w="108" w:type="dxa"/>
            <w:bottom w:w="0" w:type="dxa"/>
            <w:right w:w="108" w:type="dxa"/>
          </w:tblCellMar>
        </w:tblPrEx>
        <w:trPr>
          <w:trHeight w:val="1470" w:hRule="atLeast"/>
          <w:jc w:val="center"/>
        </w:trPr>
        <w:tc>
          <w:tcPr>
            <w:tcW w:w="1181"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2F613291">
            <w:pPr>
              <w:spacing w:line="360" w:lineRule="exact"/>
              <w:jc w:val="left"/>
              <w:rPr>
                <w:rFonts w:hint="eastAsia" w:ascii="方正仿宋简体" w:hAnsi="方正仿宋简体" w:eastAsia="方正仿宋简体" w:cs="方正仿宋简体"/>
                <w:color w:val="auto"/>
                <w:kern w:val="0"/>
                <w:sz w:val="24"/>
                <w:szCs w:val="24"/>
                <w:highlight w:val="none"/>
              </w:rPr>
            </w:pPr>
          </w:p>
        </w:tc>
        <w:tc>
          <w:tcPr>
            <w:tcW w:w="12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6B782A23">
            <w:pPr>
              <w:spacing w:line="360" w:lineRule="exact"/>
              <w:jc w:val="left"/>
              <w:rPr>
                <w:rFonts w:hint="eastAsia" w:ascii="方正仿宋简体" w:hAnsi="方正仿宋简体" w:eastAsia="方正仿宋简体" w:cs="方正仿宋简体"/>
                <w:color w:val="auto"/>
                <w:kern w:val="0"/>
                <w:sz w:val="24"/>
                <w:szCs w:val="24"/>
                <w:highlight w:val="none"/>
              </w:rPr>
            </w:pPr>
          </w:p>
        </w:tc>
        <w:tc>
          <w:tcPr>
            <w:tcW w:w="14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395A026">
            <w:pPr>
              <w:spacing w:line="36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B12“三公”经费控制率</w:t>
            </w:r>
          </w:p>
        </w:tc>
        <w:tc>
          <w:tcPr>
            <w:tcW w:w="655" w:type="dxa"/>
            <w:tcBorders>
              <w:top w:val="single" w:color="auto" w:sz="4" w:space="0"/>
              <w:left w:val="nil"/>
              <w:bottom w:val="single" w:color="auto" w:sz="4" w:space="0"/>
              <w:right w:val="single" w:color="auto" w:sz="4" w:space="0"/>
            </w:tcBorders>
            <w:shd w:val="clear" w:color="auto" w:fill="auto"/>
            <w:noWrap w:val="0"/>
            <w:vAlign w:val="center"/>
          </w:tcPr>
          <w:p w14:paraId="13C284AE">
            <w:pPr>
              <w:spacing w:line="360" w:lineRule="exact"/>
              <w:jc w:val="center"/>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2</w:t>
            </w:r>
          </w:p>
        </w:tc>
        <w:tc>
          <w:tcPr>
            <w:tcW w:w="1112" w:type="dxa"/>
            <w:tcBorders>
              <w:top w:val="single" w:color="auto" w:sz="4" w:space="0"/>
              <w:left w:val="nil"/>
              <w:bottom w:val="single" w:color="auto" w:sz="4" w:space="0"/>
              <w:right w:val="single" w:color="auto" w:sz="4" w:space="0"/>
            </w:tcBorders>
            <w:shd w:val="clear" w:color="auto" w:fill="auto"/>
            <w:noWrap w:val="0"/>
            <w:vAlign w:val="center"/>
          </w:tcPr>
          <w:p w14:paraId="6C571F93">
            <w:pPr>
              <w:spacing w:line="360" w:lineRule="exact"/>
              <w:jc w:val="center"/>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100%</w:t>
            </w:r>
          </w:p>
        </w:tc>
        <w:tc>
          <w:tcPr>
            <w:tcW w:w="2589" w:type="dxa"/>
            <w:tcBorders>
              <w:top w:val="single" w:color="auto" w:sz="4" w:space="0"/>
              <w:left w:val="nil"/>
              <w:bottom w:val="single" w:color="auto" w:sz="4" w:space="0"/>
              <w:right w:val="single" w:color="auto" w:sz="4" w:space="0"/>
            </w:tcBorders>
            <w:shd w:val="clear" w:color="auto" w:fill="auto"/>
            <w:noWrap w:val="0"/>
            <w:vAlign w:val="center"/>
          </w:tcPr>
          <w:p w14:paraId="1AB5595C">
            <w:pPr>
              <w:spacing w:line="36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部门年度</w:t>
            </w:r>
            <w:r>
              <w:rPr>
                <w:rFonts w:hint="eastAsia" w:ascii="方正仿宋简体" w:hAnsi="方正仿宋简体" w:eastAsia="方正仿宋简体" w:cs="方正仿宋简体"/>
                <w:color w:val="auto"/>
                <w:kern w:val="0"/>
                <w:sz w:val="24"/>
                <w:szCs w:val="24"/>
                <w:highlight w:val="none"/>
                <w:lang w:eastAsia="zh-CN"/>
              </w:rPr>
              <w:t>“三公”经费</w:t>
            </w:r>
            <w:r>
              <w:rPr>
                <w:rFonts w:hint="eastAsia" w:ascii="方正仿宋简体" w:hAnsi="方正仿宋简体" w:eastAsia="方正仿宋简体" w:cs="方正仿宋简体"/>
                <w:color w:val="auto"/>
                <w:kern w:val="0"/>
                <w:sz w:val="24"/>
                <w:szCs w:val="24"/>
                <w:highlight w:val="none"/>
              </w:rPr>
              <w:t>“实际支出数与预算安排数的比率，反映和考核部门对</w:t>
            </w:r>
            <w:r>
              <w:rPr>
                <w:rFonts w:hint="eastAsia" w:ascii="方正仿宋简体" w:hAnsi="方正仿宋简体" w:eastAsia="方正仿宋简体" w:cs="方正仿宋简体"/>
                <w:color w:val="auto"/>
                <w:kern w:val="0"/>
                <w:sz w:val="24"/>
                <w:szCs w:val="24"/>
                <w:highlight w:val="none"/>
                <w:lang w:eastAsia="zh-CN"/>
              </w:rPr>
              <w:t>“三公”经费</w:t>
            </w:r>
            <w:r>
              <w:rPr>
                <w:rFonts w:hint="eastAsia" w:ascii="方正仿宋简体" w:hAnsi="方正仿宋简体" w:eastAsia="方正仿宋简体" w:cs="方正仿宋简体"/>
                <w:color w:val="auto"/>
                <w:kern w:val="0"/>
                <w:sz w:val="24"/>
                <w:szCs w:val="24"/>
                <w:highlight w:val="none"/>
              </w:rPr>
              <w:t>的实际控制程度</w:t>
            </w:r>
          </w:p>
        </w:tc>
        <w:tc>
          <w:tcPr>
            <w:tcW w:w="2160" w:type="dxa"/>
            <w:tcBorders>
              <w:top w:val="single" w:color="auto" w:sz="4" w:space="0"/>
              <w:left w:val="nil"/>
              <w:bottom w:val="single" w:color="auto" w:sz="4" w:space="0"/>
              <w:right w:val="single" w:color="auto" w:sz="4" w:space="0"/>
            </w:tcBorders>
            <w:shd w:val="clear" w:color="auto" w:fill="auto"/>
            <w:noWrap w:val="0"/>
            <w:vAlign w:val="center"/>
          </w:tcPr>
          <w:p w14:paraId="2722FFD9">
            <w:pPr>
              <w:spacing w:line="36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lang w:eastAsia="zh-CN"/>
              </w:rPr>
              <w:t>“三公”经费</w:t>
            </w:r>
            <w:r>
              <w:rPr>
                <w:rFonts w:hint="eastAsia" w:ascii="方正仿宋简体" w:hAnsi="方正仿宋简体" w:eastAsia="方正仿宋简体" w:cs="方正仿宋简体"/>
                <w:color w:val="auto"/>
                <w:kern w:val="0"/>
                <w:sz w:val="24"/>
                <w:szCs w:val="24"/>
                <w:highlight w:val="none"/>
              </w:rPr>
              <w:t>控制率=（</w:t>
            </w:r>
            <w:r>
              <w:rPr>
                <w:rFonts w:hint="eastAsia" w:ascii="方正仿宋简体" w:hAnsi="方正仿宋简体" w:eastAsia="方正仿宋简体" w:cs="方正仿宋简体"/>
                <w:color w:val="auto"/>
                <w:kern w:val="0"/>
                <w:sz w:val="24"/>
                <w:szCs w:val="24"/>
                <w:highlight w:val="none"/>
                <w:lang w:eastAsia="zh-CN"/>
              </w:rPr>
              <w:t>“三公”经费</w:t>
            </w:r>
            <w:r>
              <w:rPr>
                <w:rFonts w:hint="eastAsia" w:ascii="方正仿宋简体" w:hAnsi="方正仿宋简体" w:eastAsia="方正仿宋简体" w:cs="方正仿宋简体"/>
                <w:color w:val="auto"/>
                <w:kern w:val="0"/>
                <w:sz w:val="24"/>
                <w:szCs w:val="24"/>
                <w:highlight w:val="none"/>
              </w:rPr>
              <w:t>实际支出数/</w:t>
            </w:r>
            <w:r>
              <w:rPr>
                <w:rFonts w:hint="eastAsia" w:ascii="方正仿宋简体" w:hAnsi="方正仿宋简体" w:eastAsia="方正仿宋简体" w:cs="方正仿宋简体"/>
                <w:color w:val="auto"/>
                <w:kern w:val="0"/>
                <w:sz w:val="24"/>
                <w:szCs w:val="24"/>
                <w:highlight w:val="none"/>
                <w:lang w:eastAsia="zh-CN"/>
              </w:rPr>
              <w:t>“三公”经费预算</w:t>
            </w:r>
            <w:r>
              <w:rPr>
                <w:rFonts w:hint="eastAsia" w:ascii="方正仿宋简体" w:hAnsi="方正仿宋简体" w:eastAsia="方正仿宋简体" w:cs="方正仿宋简体"/>
                <w:color w:val="auto"/>
                <w:kern w:val="0"/>
                <w:sz w:val="24"/>
                <w:szCs w:val="24"/>
                <w:highlight w:val="none"/>
              </w:rPr>
              <w:t>安排数）*100%。</w:t>
            </w:r>
            <w:r>
              <w:rPr>
                <w:rFonts w:hint="eastAsia" w:ascii="方正仿宋简体" w:hAnsi="方正仿宋简体" w:eastAsia="方正仿宋简体" w:cs="方正仿宋简体"/>
                <w:color w:val="auto"/>
                <w:kern w:val="0"/>
                <w:sz w:val="24"/>
                <w:szCs w:val="24"/>
                <w:highlight w:val="none"/>
                <w:lang w:eastAsia="zh-CN"/>
              </w:rPr>
              <w:t>“三公”经费</w:t>
            </w:r>
            <w:r>
              <w:rPr>
                <w:rFonts w:hint="eastAsia" w:ascii="方正仿宋简体" w:hAnsi="方正仿宋简体" w:eastAsia="方正仿宋简体" w:cs="方正仿宋简体"/>
                <w:color w:val="auto"/>
                <w:kern w:val="0"/>
                <w:sz w:val="24"/>
                <w:szCs w:val="24"/>
                <w:highlight w:val="none"/>
              </w:rPr>
              <w:t>使用超支扣分，若不超支则不扣分。</w:t>
            </w:r>
          </w:p>
        </w:tc>
        <w:tc>
          <w:tcPr>
            <w:tcW w:w="900" w:type="dxa"/>
            <w:tcBorders>
              <w:top w:val="single" w:color="auto" w:sz="4" w:space="0"/>
              <w:left w:val="nil"/>
              <w:bottom w:val="single" w:color="auto" w:sz="4" w:space="0"/>
              <w:right w:val="single" w:color="auto" w:sz="4" w:space="0"/>
            </w:tcBorders>
            <w:shd w:val="clear" w:color="auto" w:fill="auto"/>
            <w:noWrap w:val="0"/>
            <w:vAlign w:val="center"/>
          </w:tcPr>
          <w:p w14:paraId="37E307C5">
            <w:pPr>
              <w:spacing w:line="360" w:lineRule="exact"/>
              <w:jc w:val="center"/>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2</w:t>
            </w:r>
          </w:p>
        </w:tc>
        <w:tc>
          <w:tcPr>
            <w:tcW w:w="3741" w:type="dxa"/>
            <w:gridSpan w:val="2"/>
            <w:tcBorders>
              <w:top w:val="single" w:color="auto" w:sz="4" w:space="0"/>
              <w:left w:val="nil"/>
              <w:bottom w:val="single" w:color="auto" w:sz="4" w:space="0"/>
              <w:right w:val="single" w:color="auto" w:sz="4" w:space="0"/>
            </w:tcBorders>
            <w:shd w:val="clear" w:color="auto" w:fill="auto"/>
            <w:noWrap w:val="0"/>
            <w:vAlign w:val="center"/>
          </w:tcPr>
          <w:p w14:paraId="1C69A359">
            <w:pPr>
              <w:shd w:val="clear"/>
              <w:spacing w:line="32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lang w:val="en-US" w:eastAsia="zh-CN"/>
              </w:rPr>
              <w:t>市妇儿中心2025年</w:t>
            </w:r>
            <w:r>
              <w:rPr>
                <w:rFonts w:hint="default" w:ascii="方正仿宋简体" w:hAnsi="方正仿宋简体" w:eastAsia="方正仿宋简体" w:cs="方正仿宋简体"/>
                <w:color w:val="auto"/>
                <w:kern w:val="0"/>
                <w:sz w:val="24"/>
                <w:szCs w:val="24"/>
                <w:highlight w:val="none"/>
                <w:lang w:val="en-US" w:eastAsia="zh-CN"/>
              </w:rPr>
              <w:t>“三公”经费</w:t>
            </w:r>
            <w:r>
              <w:rPr>
                <w:rFonts w:hint="eastAsia" w:ascii="方正仿宋简体" w:hAnsi="方正仿宋简体" w:eastAsia="方正仿宋简体" w:cs="方正仿宋简体"/>
                <w:color w:val="auto"/>
                <w:kern w:val="0"/>
                <w:sz w:val="24"/>
                <w:szCs w:val="24"/>
                <w:highlight w:val="none"/>
                <w:lang w:val="en-US" w:eastAsia="zh-CN"/>
              </w:rPr>
              <w:t>调整</w:t>
            </w:r>
            <w:r>
              <w:rPr>
                <w:rFonts w:hint="default" w:ascii="方正仿宋简体" w:hAnsi="方正仿宋简体" w:eastAsia="方正仿宋简体" w:cs="方正仿宋简体"/>
                <w:color w:val="auto"/>
                <w:kern w:val="0"/>
                <w:sz w:val="24"/>
                <w:szCs w:val="24"/>
                <w:highlight w:val="none"/>
                <w:lang w:val="en-US" w:eastAsia="zh-CN"/>
              </w:rPr>
              <w:t>预算数为</w:t>
            </w:r>
            <w:r>
              <w:rPr>
                <w:rFonts w:hint="eastAsia" w:ascii="方正仿宋简体" w:hAnsi="方正仿宋简体" w:eastAsia="方正仿宋简体" w:cs="方正仿宋简体"/>
                <w:color w:val="auto"/>
                <w:kern w:val="0"/>
                <w:sz w:val="24"/>
                <w:szCs w:val="24"/>
                <w:highlight w:val="none"/>
                <w:lang w:val="en-US" w:eastAsia="zh-CN"/>
              </w:rPr>
              <w:t>2.06</w:t>
            </w:r>
            <w:r>
              <w:rPr>
                <w:rFonts w:hint="default" w:ascii="方正仿宋简体" w:hAnsi="方正仿宋简体" w:eastAsia="方正仿宋简体" w:cs="方正仿宋简体"/>
                <w:color w:val="auto"/>
                <w:kern w:val="0"/>
                <w:sz w:val="24"/>
                <w:szCs w:val="24"/>
                <w:highlight w:val="none"/>
                <w:lang w:val="en-US" w:eastAsia="zh-CN"/>
              </w:rPr>
              <w:t>万元，实际支出</w:t>
            </w:r>
            <w:r>
              <w:rPr>
                <w:rFonts w:hint="eastAsia" w:ascii="方正仿宋简体" w:hAnsi="方正仿宋简体" w:eastAsia="方正仿宋简体" w:cs="方正仿宋简体"/>
                <w:color w:val="auto"/>
                <w:kern w:val="0"/>
                <w:sz w:val="24"/>
                <w:szCs w:val="24"/>
                <w:highlight w:val="none"/>
                <w:lang w:val="en-US" w:eastAsia="zh-CN"/>
              </w:rPr>
              <w:t>2.06</w:t>
            </w:r>
            <w:r>
              <w:rPr>
                <w:rFonts w:hint="default" w:ascii="方正仿宋简体" w:hAnsi="方正仿宋简体" w:eastAsia="方正仿宋简体" w:cs="方正仿宋简体"/>
                <w:color w:val="auto"/>
                <w:kern w:val="0"/>
                <w:sz w:val="24"/>
                <w:szCs w:val="24"/>
                <w:highlight w:val="none"/>
                <w:lang w:val="en-US" w:eastAsia="zh-CN"/>
              </w:rPr>
              <w:t>万元，</w:t>
            </w:r>
            <w:r>
              <w:rPr>
                <w:rFonts w:hint="eastAsia" w:ascii="方正仿宋简体" w:hAnsi="方正仿宋简体" w:eastAsia="方正仿宋简体" w:cs="方正仿宋简体"/>
                <w:color w:val="auto"/>
                <w:kern w:val="0"/>
                <w:sz w:val="24"/>
                <w:szCs w:val="24"/>
                <w:highlight w:val="none"/>
                <w:lang w:val="en-US" w:eastAsia="zh-CN"/>
              </w:rPr>
              <w:t>未出现超支。</w:t>
            </w:r>
          </w:p>
        </w:tc>
      </w:tr>
      <w:tr w14:paraId="648D3CC7">
        <w:tblPrEx>
          <w:shd w:val="clear" w:color="auto" w:fill="auto"/>
          <w:tblCellMar>
            <w:top w:w="0" w:type="dxa"/>
            <w:left w:w="108" w:type="dxa"/>
            <w:bottom w:w="0" w:type="dxa"/>
            <w:right w:w="108" w:type="dxa"/>
          </w:tblCellMar>
        </w:tblPrEx>
        <w:trPr>
          <w:trHeight w:val="549" w:hRule="atLeast"/>
          <w:jc w:val="center"/>
        </w:trPr>
        <w:tc>
          <w:tcPr>
            <w:tcW w:w="1181"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3E9ED972">
            <w:pPr>
              <w:spacing w:line="360" w:lineRule="exact"/>
              <w:jc w:val="left"/>
              <w:rPr>
                <w:rFonts w:hint="eastAsia" w:ascii="方正仿宋简体" w:hAnsi="方正仿宋简体" w:eastAsia="方正仿宋简体" w:cs="方正仿宋简体"/>
                <w:color w:val="auto"/>
                <w:kern w:val="0"/>
                <w:sz w:val="24"/>
                <w:szCs w:val="24"/>
                <w:highlight w:val="none"/>
              </w:rPr>
            </w:pPr>
          </w:p>
        </w:tc>
        <w:tc>
          <w:tcPr>
            <w:tcW w:w="12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4EB3210B">
            <w:pPr>
              <w:spacing w:line="360" w:lineRule="exact"/>
              <w:jc w:val="left"/>
              <w:rPr>
                <w:rFonts w:hint="eastAsia" w:ascii="方正仿宋简体" w:hAnsi="方正仿宋简体" w:eastAsia="方正仿宋简体" w:cs="方正仿宋简体"/>
                <w:color w:val="auto"/>
                <w:kern w:val="0"/>
                <w:sz w:val="24"/>
                <w:szCs w:val="24"/>
                <w:highlight w:val="none"/>
              </w:rPr>
            </w:pPr>
          </w:p>
        </w:tc>
        <w:tc>
          <w:tcPr>
            <w:tcW w:w="14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D5A8134">
            <w:pPr>
              <w:spacing w:line="360" w:lineRule="exact"/>
              <w:jc w:val="left"/>
              <w:rPr>
                <w:rFonts w:hint="eastAsia" w:ascii="方正仿宋简体" w:hAnsi="方正仿宋简体" w:eastAsia="方正仿宋简体" w:cs="方正仿宋简体"/>
                <w:color w:val="auto"/>
                <w:kern w:val="0"/>
                <w:sz w:val="24"/>
                <w:szCs w:val="24"/>
                <w:highlight w:val="none"/>
                <w:lang w:eastAsia="zh-CN"/>
              </w:rPr>
            </w:pPr>
            <w:r>
              <w:rPr>
                <w:rFonts w:hint="eastAsia" w:ascii="方正仿宋简体" w:hAnsi="方正仿宋简体" w:eastAsia="方正仿宋简体" w:cs="方正仿宋简体"/>
                <w:color w:val="auto"/>
                <w:kern w:val="0"/>
                <w:sz w:val="24"/>
                <w:szCs w:val="24"/>
                <w:highlight w:val="none"/>
              </w:rPr>
              <w:t>B13预决算信息公开情况</w:t>
            </w:r>
          </w:p>
        </w:tc>
        <w:tc>
          <w:tcPr>
            <w:tcW w:w="655" w:type="dxa"/>
            <w:tcBorders>
              <w:top w:val="single" w:color="auto" w:sz="4" w:space="0"/>
              <w:left w:val="nil"/>
              <w:bottom w:val="single" w:color="auto" w:sz="4" w:space="0"/>
              <w:right w:val="single" w:color="auto" w:sz="4" w:space="0"/>
            </w:tcBorders>
            <w:shd w:val="clear" w:color="auto" w:fill="auto"/>
            <w:noWrap w:val="0"/>
            <w:vAlign w:val="center"/>
          </w:tcPr>
          <w:p w14:paraId="4E0061A4">
            <w:pPr>
              <w:spacing w:line="360" w:lineRule="exact"/>
              <w:jc w:val="center"/>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2</w:t>
            </w:r>
          </w:p>
        </w:tc>
        <w:tc>
          <w:tcPr>
            <w:tcW w:w="1112" w:type="dxa"/>
            <w:tcBorders>
              <w:top w:val="single" w:color="auto" w:sz="4" w:space="0"/>
              <w:left w:val="nil"/>
              <w:bottom w:val="single" w:color="auto" w:sz="4" w:space="0"/>
              <w:right w:val="single" w:color="auto" w:sz="4" w:space="0"/>
            </w:tcBorders>
            <w:shd w:val="clear" w:color="auto" w:fill="auto"/>
            <w:noWrap w:val="0"/>
            <w:vAlign w:val="center"/>
          </w:tcPr>
          <w:p w14:paraId="4867F61B">
            <w:pPr>
              <w:spacing w:line="360" w:lineRule="exact"/>
              <w:jc w:val="center"/>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公开</w:t>
            </w:r>
          </w:p>
        </w:tc>
        <w:tc>
          <w:tcPr>
            <w:tcW w:w="2589" w:type="dxa"/>
            <w:tcBorders>
              <w:top w:val="single" w:color="auto" w:sz="4" w:space="0"/>
              <w:left w:val="nil"/>
              <w:bottom w:val="single" w:color="auto" w:sz="4" w:space="0"/>
              <w:right w:val="single" w:color="auto" w:sz="4" w:space="0"/>
            </w:tcBorders>
            <w:shd w:val="clear" w:color="auto" w:fill="auto"/>
            <w:noWrap w:val="0"/>
            <w:vAlign w:val="center"/>
          </w:tcPr>
          <w:p w14:paraId="30F0B221">
            <w:pPr>
              <w:spacing w:line="36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考核预决算是否在“双平台”进行公开，内容和时限是否符合要求（提供截图或者照片进行佐证）</w:t>
            </w:r>
          </w:p>
        </w:tc>
        <w:tc>
          <w:tcPr>
            <w:tcW w:w="2160" w:type="dxa"/>
            <w:tcBorders>
              <w:top w:val="single" w:color="auto" w:sz="4" w:space="0"/>
              <w:left w:val="nil"/>
              <w:bottom w:val="single" w:color="auto" w:sz="4" w:space="0"/>
              <w:right w:val="single" w:color="auto" w:sz="4" w:space="0"/>
            </w:tcBorders>
            <w:shd w:val="clear" w:color="auto" w:fill="auto"/>
            <w:noWrap w:val="0"/>
            <w:vAlign w:val="center"/>
          </w:tcPr>
          <w:p w14:paraId="2525E918">
            <w:pPr>
              <w:spacing w:line="36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预决算信息及时公开得满分，否则不得分。</w:t>
            </w:r>
          </w:p>
        </w:tc>
        <w:tc>
          <w:tcPr>
            <w:tcW w:w="900" w:type="dxa"/>
            <w:tcBorders>
              <w:top w:val="single" w:color="auto" w:sz="4" w:space="0"/>
              <w:left w:val="nil"/>
              <w:bottom w:val="single" w:color="auto" w:sz="4" w:space="0"/>
              <w:right w:val="single" w:color="auto" w:sz="4" w:space="0"/>
            </w:tcBorders>
            <w:shd w:val="clear" w:color="auto" w:fill="auto"/>
            <w:noWrap w:val="0"/>
            <w:vAlign w:val="center"/>
          </w:tcPr>
          <w:p w14:paraId="559DE511">
            <w:pPr>
              <w:spacing w:line="360" w:lineRule="exact"/>
              <w:jc w:val="center"/>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2</w:t>
            </w:r>
          </w:p>
        </w:tc>
        <w:tc>
          <w:tcPr>
            <w:tcW w:w="3741" w:type="dxa"/>
            <w:gridSpan w:val="2"/>
            <w:tcBorders>
              <w:top w:val="single" w:color="auto" w:sz="4" w:space="0"/>
              <w:left w:val="nil"/>
              <w:bottom w:val="single" w:color="auto" w:sz="4" w:space="0"/>
              <w:right w:val="single" w:color="auto" w:sz="4" w:space="0"/>
            </w:tcBorders>
            <w:shd w:val="clear" w:color="auto" w:fill="auto"/>
            <w:noWrap w:val="0"/>
            <w:vAlign w:val="center"/>
          </w:tcPr>
          <w:p w14:paraId="0A401C44">
            <w:pPr>
              <w:spacing w:line="36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预决算信息已在南京妇女儿童活动中心官网和江苏省预决算公开统一平台公开发布。</w:t>
            </w:r>
          </w:p>
        </w:tc>
      </w:tr>
      <w:tr w14:paraId="3ACC083A">
        <w:tblPrEx>
          <w:shd w:val="clear" w:color="auto" w:fill="auto"/>
          <w:tblCellMar>
            <w:top w:w="0" w:type="dxa"/>
            <w:left w:w="108" w:type="dxa"/>
            <w:bottom w:w="0" w:type="dxa"/>
            <w:right w:w="108" w:type="dxa"/>
          </w:tblCellMar>
        </w:tblPrEx>
        <w:trPr>
          <w:trHeight w:val="960" w:hRule="atLeast"/>
          <w:jc w:val="center"/>
        </w:trPr>
        <w:tc>
          <w:tcPr>
            <w:tcW w:w="1181"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0E9715A9">
            <w:pPr>
              <w:spacing w:line="360" w:lineRule="exac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B部门管理（20分）</w:t>
            </w:r>
          </w:p>
        </w:tc>
        <w:tc>
          <w:tcPr>
            <w:tcW w:w="1216" w:type="dxa"/>
            <w:vMerge w:val="restart"/>
            <w:tcBorders>
              <w:top w:val="single" w:color="auto" w:sz="4" w:space="0"/>
              <w:left w:val="single" w:color="auto" w:sz="4" w:space="0"/>
              <w:right w:val="single" w:color="auto" w:sz="4" w:space="0"/>
            </w:tcBorders>
            <w:shd w:val="clear" w:color="auto" w:fill="auto"/>
            <w:noWrap w:val="0"/>
            <w:vAlign w:val="center"/>
          </w:tcPr>
          <w:p w14:paraId="60881EE9">
            <w:pPr>
              <w:spacing w:line="36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B2收支管理</w:t>
            </w:r>
          </w:p>
          <w:p w14:paraId="770111D9">
            <w:pPr>
              <w:spacing w:line="36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（2分）</w:t>
            </w:r>
          </w:p>
        </w:tc>
        <w:tc>
          <w:tcPr>
            <w:tcW w:w="14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938129B">
            <w:pPr>
              <w:spacing w:line="36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B21收支管理制度健全性</w:t>
            </w:r>
          </w:p>
        </w:tc>
        <w:tc>
          <w:tcPr>
            <w:tcW w:w="655" w:type="dxa"/>
            <w:tcBorders>
              <w:top w:val="single" w:color="auto" w:sz="4" w:space="0"/>
              <w:left w:val="nil"/>
              <w:bottom w:val="single" w:color="auto" w:sz="4" w:space="0"/>
              <w:right w:val="single" w:color="auto" w:sz="4" w:space="0"/>
            </w:tcBorders>
            <w:shd w:val="clear" w:color="auto" w:fill="auto"/>
            <w:noWrap w:val="0"/>
            <w:vAlign w:val="center"/>
          </w:tcPr>
          <w:p w14:paraId="2B43EFC7">
            <w:pPr>
              <w:spacing w:line="360" w:lineRule="exact"/>
              <w:jc w:val="center"/>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1</w:t>
            </w:r>
          </w:p>
        </w:tc>
        <w:tc>
          <w:tcPr>
            <w:tcW w:w="1112" w:type="dxa"/>
            <w:tcBorders>
              <w:top w:val="single" w:color="auto" w:sz="4" w:space="0"/>
              <w:left w:val="nil"/>
              <w:bottom w:val="single" w:color="auto" w:sz="4" w:space="0"/>
              <w:right w:val="single" w:color="auto" w:sz="4" w:space="0"/>
            </w:tcBorders>
            <w:shd w:val="clear" w:color="auto" w:fill="auto"/>
            <w:noWrap w:val="0"/>
            <w:vAlign w:val="center"/>
          </w:tcPr>
          <w:p w14:paraId="7A2D0BFF">
            <w:pPr>
              <w:spacing w:line="360" w:lineRule="exact"/>
              <w:jc w:val="center"/>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健全</w:t>
            </w:r>
          </w:p>
        </w:tc>
        <w:tc>
          <w:tcPr>
            <w:tcW w:w="2589" w:type="dxa"/>
            <w:tcBorders>
              <w:top w:val="single" w:color="auto" w:sz="4" w:space="0"/>
              <w:left w:val="nil"/>
              <w:bottom w:val="single" w:color="auto" w:sz="4" w:space="0"/>
              <w:right w:val="single" w:color="auto" w:sz="4" w:space="0"/>
            </w:tcBorders>
            <w:shd w:val="clear" w:color="auto" w:fill="auto"/>
            <w:noWrap w:val="0"/>
            <w:vAlign w:val="center"/>
          </w:tcPr>
          <w:p w14:paraId="18AE30BF">
            <w:pPr>
              <w:spacing w:line="36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考核收支管理制度的健全性</w:t>
            </w:r>
          </w:p>
        </w:tc>
        <w:tc>
          <w:tcPr>
            <w:tcW w:w="2160" w:type="dxa"/>
            <w:tcBorders>
              <w:top w:val="single" w:color="auto" w:sz="4" w:space="0"/>
              <w:left w:val="nil"/>
              <w:bottom w:val="single" w:color="auto" w:sz="4" w:space="0"/>
              <w:right w:val="single" w:color="auto" w:sz="4" w:space="0"/>
            </w:tcBorders>
            <w:shd w:val="clear" w:color="auto" w:fill="auto"/>
            <w:noWrap w:val="0"/>
            <w:vAlign w:val="center"/>
          </w:tcPr>
          <w:p w14:paraId="76E92F3C">
            <w:pPr>
              <w:spacing w:line="36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收支管理制度健全得满分，否则不得分。</w:t>
            </w:r>
          </w:p>
        </w:tc>
        <w:tc>
          <w:tcPr>
            <w:tcW w:w="900" w:type="dxa"/>
            <w:tcBorders>
              <w:top w:val="single" w:color="auto" w:sz="4" w:space="0"/>
              <w:left w:val="nil"/>
              <w:bottom w:val="single" w:color="auto" w:sz="4" w:space="0"/>
              <w:right w:val="single" w:color="auto" w:sz="4" w:space="0"/>
            </w:tcBorders>
            <w:shd w:val="clear" w:color="auto" w:fill="auto"/>
            <w:noWrap w:val="0"/>
            <w:vAlign w:val="center"/>
          </w:tcPr>
          <w:p w14:paraId="2724F7D8">
            <w:pPr>
              <w:spacing w:line="360" w:lineRule="exact"/>
              <w:jc w:val="center"/>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1</w:t>
            </w:r>
          </w:p>
        </w:tc>
        <w:tc>
          <w:tcPr>
            <w:tcW w:w="3741" w:type="dxa"/>
            <w:gridSpan w:val="2"/>
            <w:tcBorders>
              <w:top w:val="single" w:color="auto" w:sz="4" w:space="0"/>
              <w:left w:val="nil"/>
              <w:bottom w:val="single" w:color="auto" w:sz="4" w:space="0"/>
              <w:right w:val="single" w:color="auto" w:sz="4" w:space="0"/>
            </w:tcBorders>
            <w:shd w:val="clear" w:color="auto" w:fill="auto"/>
            <w:noWrap w:val="0"/>
            <w:vAlign w:val="center"/>
          </w:tcPr>
          <w:p w14:paraId="765DE9C3">
            <w:pPr>
              <w:spacing w:line="36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中心按照《收支业务管理制度》，对各类具体收支进行管理。</w:t>
            </w:r>
          </w:p>
        </w:tc>
      </w:tr>
      <w:tr w14:paraId="5E80D0AA">
        <w:tblPrEx>
          <w:shd w:val="clear" w:color="auto" w:fill="auto"/>
          <w:tblCellMar>
            <w:top w:w="0" w:type="dxa"/>
            <w:left w:w="108" w:type="dxa"/>
            <w:bottom w:w="0" w:type="dxa"/>
            <w:right w:w="108" w:type="dxa"/>
          </w:tblCellMar>
        </w:tblPrEx>
        <w:trPr>
          <w:trHeight w:val="1533" w:hRule="atLeast"/>
          <w:jc w:val="center"/>
        </w:trPr>
        <w:tc>
          <w:tcPr>
            <w:tcW w:w="1181"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35D42D1C">
            <w:pPr>
              <w:spacing w:line="360" w:lineRule="exact"/>
              <w:ind w:firstLine="480"/>
              <w:jc w:val="center"/>
              <w:rPr>
                <w:rFonts w:hint="eastAsia" w:ascii="方正仿宋简体" w:hAnsi="方正仿宋简体" w:eastAsia="方正仿宋简体" w:cs="方正仿宋简体"/>
                <w:color w:val="auto"/>
                <w:kern w:val="0"/>
                <w:sz w:val="24"/>
                <w:szCs w:val="24"/>
                <w:highlight w:val="none"/>
              </w:rPr>
            </w:pPr>
          </w:p>
        </w:tc>
        <w:tc>
          <w:tcPr>
            <w:tcW w:w="1216" w:type="dxa"/>
            <w:vMerge w:val="continue"/>
            <w:tcBorders>
              <w:left w:val="single" w:color="auto" w:sz="4" w:space="0"/>
              <w:bottom w:val="single" w:color="auto" w:sz="4" w:space="0"/>
              <w:right w:val="single" w:color="auto" w:sz="4" w:space="0"/>
            </w:tcBorders>
            <w:shd w:val="clear" w:color="auto" w:fill="auto"/>
            <w:noWrap w:val="0"/>
            <w:vAlign w:val="center"/>
          </w:tcPr>
          <w:p w14:paraId="3A9830FE">
            <w:pPr>
              <w:spacing w:line="360" w:lineRule="exact"/>
              <w:jc w:val="left"/>
              <w:rPr>
                <w:rFonts w:hint="eastAsia" w:ascii="方正仿宋简体" w:hAnsi="方正仿宋简体" w:eastAsia="方正仿宋简体" w:cs="方正仿宋简体"/>
                <w:color w:val="auto"/>
                <w:kern w:val="0"/>
                <w:sz w:val="24"/>
                <w:szCs w:val="24"/>
                <w:highlight w:val="none"/>
              </w:rPr>
            </w:pPr>
          </w:p>
        </w:tc>
        <w:tc>
          <w:tcPr>
            <w:tcW w:w="14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EA9B46F">
            <w:pPr>
              <w:spacing w:line="36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B22收支管理是否按制度执行</w:t>
            </w:r>
          </w:p>
        </w:tc>
        <w:tc>
          <w:tcPr>
            <w:tcW w:w="655" w:type="dxa"/>
            <w:tcBorders>
              <w:top w:val="single" w:color="auto" w:sz="4" w:space="0"/>
              <w:left w:val="nil"/>
              <w:bottom w:val="single" w:color="auto" w:sz="4" w:space="0"/>
              <w:right w:val="single" w:color="auto" w:sz="4" w:space="0"/>
            </w:tcBorders>
            <w:shd w:val="clear" w:color="auto" w:fill="auto"/>
            <w:noWrap w:val="0"/>
            <w:vAlign w:val="center"/>
          </w:tcPr>
          <w:p w14:paraId="7E044E40">
            <w:pPr>
              <w:spacing w:line="360" w:lineRule="exact"/>
              <w:jc w:val="center"/>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1</w:t>
            </w:r>
          </w:p>
        </w:tc>
        <w:tc>
          <w:tcPr>
            <w:tcW w:w="1112" w:type="dxa"/>
            <w:tcBorders>
              <w:top w:val="single" w:color="auto" w:sz="4" w:space="0"/>
              <w:left w:val="nil"/>
              <w:bottom w:val="single" w:color="auto" w:sz="4" w:space="0"/>
              <w:right w:val="single" w:color="auto" w:sz="4" w:space="0"/>
            </w:tcBorders>
            <w:shd w:val="clear" w:color="auto" w:fill="auto"/>
            <w:noWrap w:val="0"/>
            <w:vAlign w:val="center"/>
          </w:tcPr>
          <w:p w14:paraId="5058AC85">
            <w:pPr>
              <w:spacing w:line="360" w:lineRule="exact"/>
              <w:jc w:val="center"/>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执行</w:t>
            </w:r>
          </w:p>
        </w:tc>
        <w:tc>
          <w:tcPr>
            <w:tcW w:w="2589" w:type="dxa"/>
            <w:tcBorders>
              <w:top w:val="single" w:color="auto" w:sz="4" w:space="0"/>
              <w:left w:val="nil"/>
              <w:bottom w:val="single" w:color="auto" w:sz="4" w:space="0"/>
              <w:right w:val="single" w:color="auto" w:sz="4" w:space="0"/>
            </w:tcBorders>
            <w:shd w:val="clear" w:color="auto" w:fill="auto"/>
            <w:noWrap w:val="0"/>
            <w:vAlign w:val="center"/>
          </w:tcPr>
          <w:p w14:paraId="58643998">
            <w:pPr>
              <w:spacing w:line="36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考核收支管理是否按制度执行</w:t>
            </w:r>
          </w:p>
        </w:tc>
        <w:tc>
          <w:tcPr>
            <w:tcW w:w="2160" w:type="dxa"/>
            <w:tcBorders>
              <w:top w:val="single" w:color="auto" w:sz="4" w:space="0"/>
              <w:left w:val="nil"/>
              <w:bottom w:val="single" w:color="auto" w:sz="4" w:space="0"/>
              <w:right w:val="single" w:color="auto" w:sz="4" w:space="0"/>
            </w:tcBorders>
            <w:shd w:val="clear" w:color="auto" w:fill="auto"/>
            <w:noWrap w:val="0"/>
            <w:vAlign w:val="center"/>
          </w:tcPr>
          <w:p w14:paraId="36D3A13E">
            <w:pPr>
              <w:spacing w:line="36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收支管理按制度执行得满分，否则不得分。</w:t>
            </w:r>
          </w:p>
        </w:tc>
        <w:tc>
          <w:tcPr>
            <w:tcW w:w="900" w:type="dxa"/>
            <w:tcBorders>
              <w:top w:val="single" w:color="auto" w:sz="4" w:space="0"/>
              <w:left w:val="nil"/>
              <w:bottom w:val="single" w:color="auto" w:sz="4" w:space="0"/>
              <w:right w:val="single" w:color="auto" w:sz="4" w:space="0"/>
            </w:tcBorders>
            <w:shd w:val="clear" w:color="auto" w:fill="auto"/>
            <w:noWrap w:val="0"/>
            <w:vAlign w:val="center"/>
          </w:tcPr>
          <w:p w14:paraId="3DDC5B34">
            <w:pPr>
              <w:spacing w:line="360" w:lineRule="exact"/>
              <w:jc w:val="center"/>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1</w:t>
            </w:r>
          </w:p>
        </w:tc>
        <w:tc>
          <w:tcPr>
            <w:tcW w:w="3741" w:type="dxa"/>
            <w:gridSpan w:val="2"/>
            <w:tcBorders>
              <w:top w:val="single" w:color="auto" w:sz="4" w:space="0"/>
              <w:left w:val="nil"/>
              <w:bottom w:val="single" w:color="auto" w:sz="4" w:space="0"/>
              <w:right w:val="single" w:color="auto" w:sz="4" w:space="0"/>
            </w:tcBorders>
            <w:shd w:val="clear" w:color="auto" w:fill="auto"/>
            <w:noWrap w:val="0"/>
            <w:vAlign w:val="center"/>
          </w:tcPr>
          <w:p w14:paraId="34C2E9A4">
            <w:pPr>
              <w:spacing w:line="36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经检查凭证及结合</w:t>
            </w:r>
            <w:r>
              <w:rPr>
                <w:rFonts w:hint="eastAsia" w:ascii="方正仿宋简体" w:hAnsi="方正仿宋简体" w:eastAsia="方正仿宋简体" w:cs="方正仿宋简体"/>
                <w:color w:val="auto"/>
                <w:kern w:val="0"/>
                <w:sz w:val="24"/>
                <w:szCs w:val="24"/>
                <w:highlight w:val="none"/>
                <w:lang w:val="en-US" w:eastAsia="zh-CN"/>
              </w:rPr>
              <w:t>党政联席会</w:t>
            </w:r>
            <w:r>
              <w:rPr>
                <w:rFonts w:hint="eastAsia" w:ascii="方正仿宋简体" w:hAnsi="方正仿宋简体" w:eastAsia="方正仿宋简体" w:cs="方正仿宋简体"/>
                <w:color w:val="auto"/>
                <w:kern w:val="0"/>
                <w:sz w:val="24"/>
                <w:szCs w:val="24"/>
                <w:highlight w:val="none"/>
              </w:rPr>
              <w:t>会议纪要，暂未发现违反制度执行的地方，财务做账规范，后附材料齐全，会议纪要记录详细规范。</w:t>
            </w:r>
          </w:p>
        </w:tc>
      </w:tr>
      <w:tr w14:paraId="20D23C14">
        <w:tblPrEx>
          <w:shd w:val="clear" w:color="auto" w:fill="auto"/>
          <w:tblCellMar>
            <w:top w:w="0" w:type="dxa"/>
            <w:left w:w="108" w:type="dxa"/>
            <w:bottom w:w="0" w:type="dxa"/>
            <w:right w:w="108" w:type="dxa"/>
          </w:tblCellMar>
        </w:tblPrEx>
        <w:trPr>
          <w:trHeight w:val="1555" w:hRule="atLeast"/>
          <w:jc w:val="center"/>
        </w:trPr>
        <w:tc>
          <w:tcPr>
            <w:tcW w:w="1181"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593DC8FC">
            <w:pPr>
              <w:spacing w:line="360" w:lineRule="exact"/>
              <w:ind w:firstLine="480"/>
              <w:jc w:val="center"/>
              <w:rPr>
                <w:rFonts w:hint="eastAsia" w:ascii="方正仿宋简体" w:hAnsi="方正仿宋简体" w:eastAsia="方正仿宋简体" w:cs="方正仿宋简体"/>
                <w:color w:val="auto"/>
                <w:kern w:val="0"/>
                <w:sz w:val="24"/>
                <w:szCs w:val="24"/>
                <w:highlight w:val="none"/>
              </w:rPr>
            </w:pPr>
          </w:p>
        </w:tc>
        <w:tc>
          <w:tcPr>
            <w:tcW w:w="1216" w:type="dxa"/>
            <w:vMerge w:val="restart"/>
            <w:tcBorders>
              <w:top w:val="single" w:color="auto" w:sz="4" w:space="0"/>
              <w:left w:val="single" w:color="auto" w:sz="4" w:space="0"/>
              <w:right w:val="single" w:color="auto" w:sz="4" w:space="0"/>
            </w:tcBorders>
            <w:shd w:val="clear" w:color="auto" w:fill="auto"/>
            <w:noWrap w:val="0"/>
            <w:vAlign w:val="center"/>
          </w:tcPr>
          <w:p w14:paraId="10D6FDE8">
            <w:pPr>
              <w:spacing w:line="36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B3资产管理</w:t>
            </w:r>
          </w:p>
          <w:p w14:paraId="0F3CF4E3">
            <w:pPr>
              <w:spacing w:line="360" w:lineRule="exact"/>
              <w:ind w:firstLine="480"/>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（2分）</w:t>
            </w:r>
          </w:p>
        </w:tc>
        <w:tc>
          <w:tcPr>
            <w:tcW w:w="14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FCD96C1">
            <w:pPr>
              <w:spacing w:line="36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B31资产管理制度健全性</w:t>
            </w:r>
          </w:p>
        </w:tc>
        <w:tc>
          <w:tcPr>
            <w:tcW w:w="655" w:type="dxa"/>
            <w:tcBorders>
              <w:top w:val="single" w:color="auto" w:sz="4" w:space="0"/>
              <w:left w:val="nil"/>
              <w:bottom w:val="single" w:color="auto" w:sz="4" w:space="0"/>
              <w:right w:val="single" w:color="auto" w:sz="4" w:space="0"/>
            </w:tcBorders>
            <w:shd w:val="clear" w:color="auto" w:fill="auto"/>
            <w:noWrap w:val="0"/>
            <w:vAlign w:val="center"/>
          </w:tcPr>
          <w:p w14:paraId="2B646DF6">
            <w:pPr>
              <w:spacing w:line="360" w:lineRule="exact"/>
              <w:jc w:val="center"/>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1</w:t>
            </w:r>
          </w:p>
        </w:tc>
        <w:tc>
          <w:tcPr>
            <w:tcW w:w="1112" w:type="dxa"/>
            <w:tcBorders>
              <w:top w:val="single" w:color="auto" w:sz="4" w:space="0"/>
              <w:left w:val="nil"/>
              <w:bottom w:val="single" w:color="auto" w:sz="4" w:space="0"/>
              <w:right w:val="single" w:color="auto" w:sz="4" w:space="0"/>
            </w:tcBorders>
            <w:shd w:val="clear" w:color="auto" w:fill="auto"/>
            <w:noWrap w:val="0"/>
            <w:vAlign w:val="center"/>
          </w:tcPr>
          <w:p w14:paraId="60132BE2">
            <w:pPr>
              <w:spacing w:line="360" w:lineRule="exact"/>
              <w:jc w:val="center"/>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健全</w:t>
            </w:r>
          </w:p>
        </w:tc>
        <w:tc>
          <w:tcPr>
            <w:tcW w:w="2589" w:type="dxa"/>
            <w:tcBorders>
              <w:top w:val="single" w:color="auto" w:sz="4" w:space="0"/>
              <w:left w:val="nil"/>
              <w:bottom w:val="single" w:color="auto" w:sz="4" w:space="0"/>
              <w:right w:val="single" w:color="auto" w:sz="4" w:space="0"/>
            </w:tcBorders>
            <w:shd w:val="clear" w:color="auto" w:fill="auto"/>
            <w:noWrap w:val="0"/>
            <w:vAlign w:val="center"/>
          </w:tcPr>
          <w:p w14:paraId="20543F0A">
            <w:pPr>
              <w:spacing w:line="36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考核资产管理制度健全性</w:t>
            </w:r>
          </w:p>
        </w:tc>
        <w:tc>
          <w:tcPr>
            <w:tcW w:w="2160" w:type="dxa"/>
            <w:tcBorders>
              <w:top w:val="single" w:color="auto" w:sz="4" w:space="0"/>
              <w:left w:val="nil"/>
              <w:bottom w:val="single" w:color="auto" w:sz="4" w:space="0"/>
              <w:right w:val="single" w:color="auto" w:sz="4" w:space="0"/>
            </w:tcBorders>
            <w:shd w:val="clear" w:color="auto" w:fill="auto"/>
            <w:noWrap w:val="0"/>
            <w:vAlign w:val="center"/>
          </w:tcPr>
          <w:p w14:paraId="368571CC">
            <w:pPr>
              <w:spacing w:line="36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资产管理制度健全得满分，否则不得分。</w:t>
            </w:r>
          </w:p>
        </w:tc>
        <w:tc>
          <w:tcPr>
            <w:tcW w:w="900" w:type="dxa"/>
            <w:tcBorders>
              <w:top w:val="single" w:color="auto" w:sz="4" w:space="0"/>
              <w:left w:val="nil"/>
              <w:bottom w:val="single" w:color="auto" w:sz="4" w:space="0"/>
              <w:right w:val="single" w:color="auto" w:sz="4" w:space="0"/>
            </w:tcBorders>
            <w:shd w:val="clear" w:color="auto" w:fill="auto"/>
            <w:noWrap w:val="0"/>
            <w:vAlign w:val="center"/>
          </w:tcPr>
          <w:p w14:paraId="30AD2F61">
            <w:pPr>
              <w:spacing w:line="360" w:lineRule="exact"/>
              <w:jc w:val="center"/>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1</w:t>
            </w:r>
          </w:p>
        </w:tc>
        <w:tc>
          <w:tcPr>
            <w:tcW w:w="3741" w:type="dxa"/>
            <w:gridSpan w:val="2"/>
            <w:tcBorders>
              <w:top w:val="single" w:color="auto" w:sz="4" w:space="0"/>
              <w:left w:val="nil"/>
              <w:bottom w:val="single" w:color="auto" w:sz="4" w:space="0"/>
              <w:right w:val="single" w:color="auto" w:sz="4" w:space="0"/>
            </w:tcBorders>
            <w:shd w:val="clear" w:color="auto" w:fill="auto"/>
            <w:noWrap w:val="0"/>
            <w:vAlign w:val="center"/>
          </w:tcPr>
          <w:p w14:paraId="54D94C78">
            <w:pPr>
              <w:spacing w:line="36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中心制订了《固定资产管理办法》，《房产出租管理办法》《房产出租基本流程》等一系列的制度，保证国有资产安全并有效发挥其效能。</w:t>
            </w:r>
          </w:p>
        </w:tc>
      </w:tr>
      <w:tr w14:paraId="5BC4BEC5">
        <w:tblPrEx>
          <w:tblCellMar>
            <w:top w:w="0" w:type="dxa"/>
            <w:left w:w="108" w:type="dxa"/>
            <w:bottom w:w="0" w:type="dxa"/>
            <w:right w:w="108" w:type="dxa"/>
          </w:tblCellMar>
        </w:tblPrEx>
        <w:trPr>
          <w:trHeight w:val="1200" w:hRule="atLeast"/>
          <w:jc w:val="center"/>
        </w:trPr>
        <w:tc>
          <w:tcPr>
            <w:tcW w:w="1181"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4BCF1C24">
            <w:pPr>
              <w:spacing w:line="360" w:lineRule="exact"/>
              <w:jc w:val="center"/>
              <w:rPr>
                <w:rFonts w:hint="eastAsia" w:ascii="方正仿宋简体" w:hAnsi="方正仿宋简体" w:eastAsia="方正仿宋简体" w:cs="方正仿宋简体"/>
                <w:color w:val="auto"/>
                <w:kern w:val="0"/>
                <w:sz w:val="24"/>
                <w:szCs w:val="24"/>
                <w:highlight w:val="none"/>
              </w:rPr>
            </w:pPr>
          </w:p>
        </w:tc>
        <w:tc>
          <w:tcPr>
            <w:tcW w:w="12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5D07D148">
            <w:pPr>
              <w:spacing w:line="360" w:lineRule="exact"/>
              <w:jc w:val="left"/>
              <w:rPr>
                <w:rFonts w:hint="eastAsia" w:ascii="方正仿宋简体" w:hAnsi="方正仿宋简体" w:eastAsia="方正仿宋简体" w:cs="方正仿宋简体"/>
                <w:color w:val="auto"/>
                <w:kern w:val="0"/>
                <w:sz w:val="24"/>
                <w:szCs w:val="24"/>
                <w:highlight w:val="none"/>
              </w:rPr>
            </w:pPr>
          </w:p>
        </w:tc>
        <w:tc>
          <w:tcPr>
            <w:tcW w:w="14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6EF88BB">
            <w:pPr>
              <w:spacing w:line="36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B32资产管理是否按制度执行</w:t>
            </w:r>
          </w:p>
        </w:tc>
        <w:tc>
          <w:tcPr>
            <w:tcW w:w="655" w:type="dxa"/>
            <w:tcBorders>
              <w:top w:val="single" w:color="auto" w:sz="4" w:space="0"/>
              <w:left w:val="nil"/>
              <w:bottom w:val="single" w:color="auto" w:sz="4" w:space="0"/>
              <w:right w:val="single" w:color="auto" w:sz="4" w:space="0"/>
            </w:tcBorders>
            <w:shd w:val="clear" w:color="auto" w:fill="auto"/>
            <w:noWrap w:val="0"/>
            <w:vAlign w:val="center"/>
          </w:tcPr>
          <w:p w14:paraId="3B6FC826">
            <w:pPr>
              <w:spacing w:line="360" w:lineRule="exact"/>
              <w:jc w:val="center"/>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1</w:t>
            </w:r>
          </w:p>
        </w:tc>
        <w:tc>
          <w:tcPr>
            <w:tcW w:w="1112" w:type="dxa"/>
            <w:tcBorders>
              <w:top w:val="single" w:color="auto" w:sz="4" w:space="0"/>
              <w:left w:val="nil"/>
              <w:bottom w:val="single" w:color="auto" w:sz="4" w:space="0"/>
              <w:right w:val="single" w:color="auto" w:sz="4" w:space="0"/>
            </w:tcBorders>
            <w:shd w:val="clear" w:color="auto" w:fill="auto"/>
            <w:noWrap w:val="0"/>
            <w:vAlign w:val="center"/>
          </w:tcPr>
          <w:p w14:paraId="31FC471E">
            <w:pPr>
              <w:spacing w:line="360" w:lineRule="exact"/>
              <w:jc w:val="center"/>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执行</w:t>
            </w:r>
          </w:p>
        </w:tc>
        <w:tc>
          <w:tcPr>
            <w:tcW w:w="2589" w:type="dxa"/>
            <w:tcBorders>
              <w:top w:val="single" w:color="auto" w:sz="4" w:space="0"/>
              <w:left w:val="nil"/>
              <w:bottom w:val="single" w:color="auto" w:sz="4" w:space="0"/>
              <w:right w:val="single" w:color="auto" w:sz="4" w:space="0"/>
            </w:tcBorders>
            <w:shd w:val="clear" w:color="auto" w:fill="auto"/>
            <w:noWrap w:val="0"/>
            <w:vAlign w:val="center"/>
          </w:tcPr>
          <w:p w14:paraId="2FB64532">
            <w:pPr>
              <w:spacing w:line="36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考核资产管理是否按制度执行</w:t>
            </w:r>
          </w:p>
        </w:tc>
        <w:tc>
          <w:tcPr>
            <w:tcW w:w="2160" w:type="dxa"/>
            <w:tcBorders>
              <w:top w:val="single" w:color="auto" w:sz="4" w:space="0"/>
              <w:left w:val="nil"/>
              <w:bottom w:val="single" w:color="auto" w:sz="4" w:space="0"/>
              <w:right w:val="single" w:color="auto" w:sz="4" w:space="0"/>
            </w:tcBorders>
            <w:shd w:val="clear" w:color="auto" w:fill="auto"/>
            <w:noWrap w:val="0"/>
            <w:vAlign w:val="center"/>
          </w:tcPr>
          <w:p w14:paraId="5A8EAB7E">
            <w:pPr>
              <w:spacing w:line="36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资产管理按制度执行得满分，否则不得分。</w:t>
            </w:r>
          </w:p>
        </w:tc>
        <w:tc>
          <w:tcPr>
            <w:tcW w:w="900" w:type="dxa"/>
            <w:tcBorders>
              <w:top w:val="single" w:color="auto" w:sz="4" w:space="0"/>
              <w:left w:val="nil"/>
              <w:bottom w:val="single" w:color="auto" w:sz="4" w:space="0"/>
              <w:right w:val="single" w:color="auto" w:sz="4" w:space="0"/>
            </w:tcBorders>
            <w:shd w:val="clear" w:color="auto" w:fill="auto"/>
            <w:noWrap w:val="0"/>
            <w:vAlign w:val="center"/>
          </w:tcPr>
          <w:p w14:paraId="148FAC49">
            <w:pPr>
              <w:spacing w:line="360" w:lineRule="exact"/>
              <w:jc w:val="center"/>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1</w:t>
            </w:r>
          </w:p>
        </w:tc>
        <w:tc>
          <w:tcPr>
            <w:tcW w:w="3741" w:type="dxa"/>
            <w:gridSpan w:val="2"/>
            <w:tcBorders>
              <w:top w:val="single" w:color="auto" w:sz="4" w:space="0"/>
              <w:left w:val="nil"/>
              <w:bottom w:val="single" w:color="auto" w:sz="4" w:space="0"/>
              <w:right w:val="single" w:color="auto" w:sz="4" w:space="0"/>
            </w:tcBorders>
            <w:shd w:val="clear" w:color="auto" w:fill="auto"/>
            <w:noWrap w:val="0"/>
            <w:vAlign w:val="center"/>
          </w:tcPr>
          <w:p w14:paraId="31087CD9">
            <w:pPr>
              <w:spacing w:line="36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市妇儿中心每年盘点固定资产，资产的增加、减少和报废均根据相关制度办理。</w:t>
            </w:r>
          </w:p>
        </w:tc>
      </w:tr>
      <w:tr w14:paraId="294FB811">
        <w:tblPrEx>
          <w:shd w:val="clear" w:color="auto" w:fill="auto"/>
          <w:tblCellMar>
            <w:top w:w="0" w:type="dxa"/>
            <w:left w:w="108" w:type="dxa"/>
            <w:bottom w:w="0" w:type="dxa"/>
            <w:right w:w="108" w:type="dxa"/>
          </w:tblCellMar>
        </w:tblPrEx>
        <w:trPr>
          <w:trHeight w:val="1200" w:hRule="atLeast"/>
          <w:jc w:val="center"/>
        </w:trPr>
        <w:tc>
          <w:tcPr>
            <w:tcW w:w="1181"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6F3A534E">
            <w:pPr>
              <w:spacing w:line="360" w:lineRule="exact"/>
              <w:jc w:val="left"/>
              <w:rPr>
                <w:rFonts w:hint="eastAsia" w:ascii="方正仿宋简体" w:hAnsi="方正仿宋简体" w:eastAsia="方正仿宋简体" w:cs="方正仿宋简体"/>
                <w:color w:val="auto"/>
                <w:kern w:val="0"/>
                <w:sz w:val="24"/>
                <w:szCs w:val="24"/>
                <w:highlight w:val="none"/>
              </w:rPr>
            </w:pPr>
          </w:p>
        </w:tc>
        <w:tc>
          <w:tcPr>
            <w:tcW w:w="1216" w:type="dxa"/>
            <w:vMerge w:val="restart"/>
            <w:tcBorders>
              <w:top w:val="single" w:color="auto" w:sz="4" w:space="0"/>
              <w:left w:val="single" w:color="auto" w:sz="4" w:space="0"/>
              <w:right w:val="single" w:color="auto" w:sz="4" w:space="0"/>
            </w:tcBorders>
            <w:shd w:val="clear" w:color="auto" w:fill="auto"/>
            <w:noWrap w:val="0"/>
            <w:vAlign w:val="center"/>
          </w:tcPr>
          <w:p w14:paraId="5BAE870A">
            <w:pPr>
              <w:spacing w:line="36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B4采购管理</w:t>
            </w:r>
          </w:p>
          <w:p w14:paraId="6AC2E176">
            <w:pPr>
              <w:spacing w:line="36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（2分）</w:t>
            </w:r>
          </w:p>
        </w:tc>
        <w:tc>
          <w:tcPr>
            <w:tcW w:w="14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B4804F6">
            <w:pPr>
              <w:spacing w:line="34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B41采购管理制度健全性</w:t>
            </w:r>
          </w:p>
        </w:tc>
        <w:tc>
          <w:tcPr>
            <w:tcW w:w="655" w:type="dxa"/>
            <w:tcBorders>
              <w:top w:val="single" w:color="auto" w:sz="4" w:space="0"/>
              <w:left w:val="nil"/>
              <w:bottom w:val="single" w:color="auto" w:sz="4" w:space="0"/>
              <w:right w:val="single" w:color="auto" w:sz="4" w:space="0"/>
            </w:tcBorders>
            <w:shd w:val="clear" w:color="auto" w:fill="auto"/>
            <w:noWrap w:val="0"/>
            <w:vAlign w:val="center"/>
          </w:tcPr>
          <w:p w14:paraId="462DE13D">
            <w:pPr>
              <w:spacing w:line="340" w:lineRule="exact"/>
              <w:jc w:val="center"/>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1</w:t>
            </w:r>
          </w:p>
        </w:tc>
        <w:tc>
          <w:tcPr>
            <w:tcW w:w="1112" w:type="dxa"/>
            <w:tcBorders>
              <w:top w:val="single" w:color="auto" w:sz="4" w:space="0"/>
              <w:left w:val="nil"/>
              <w:bottom w:val="single" w:color="auto" w:sz="4" w:space="0"/>
              <w:right w:val="single" w:color="auto" w:sz="4" w:space="0"/>
            </w:tcBorders>
            <w:shd w:val="clear" w:color="auto" w:fill="auto"/>
            <w:noWrap w:val="0"/>
            <w:vAlign w:val="center"/>
          </w:tcPr>
          <w:p w14:paraId="6C1B378D">
            <w:pPr>
              <w:spacing w:line="340" w:lineRule="exact"/>
              <w:jc w:val="center"/>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健全</w:t>
            </w:r>
          </w:p>
        </w:tc>
        <w:tc>
          <w:tcPr>
            <w:tcW w:w="2589" w:type="dxa"/>
            <w:tcBorders>
              <w:top w:val="single" w:color="auto" w:sz="4" w:space="0"/>
              <w:left w:val="nil"/>
              <w:bottom w:val="single" w:color="auto" w:sz="4" w:space="0"/>
              <w:right w:val="single" w:color="auto" w:sz="4" w:space="0"/>
            </w:tcBorders>
            <w:shd w:val="clear" w:color="auto" w:fill="auto"/>
            <w:noWrap w:val="0"/>
            <w:vAlign w:val="center"/>
          </w:tcPr>
          <w:p w14:paraId="56B0CBB8">
            <w:pPr>
              <w:spacing w:line="34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考核采购管理制度是否健全</w:t>
            </w:r>
          </w:p>
        </w:tc>
        <w:tc>
          <w:tcPr>
            <w:tcW w:w="2160" w:type="dxa"/>
            <w:tcBorders>
              <w:top w:val="single" w:color="auto" w:sz="4" w:space="0"/>
              <w:left w:val="nil"/>
              <w:bottom w:val="single" w:color="auto" w:sz="4" w:space="0"/>
              <w:right w:val="single" w:color="auto" w:sz="4" w:space="0"/>
            </w:tcBorders>
            <w:shd w:val="clear" w:color="auto" w:fill="auto"/>
            <w:noWrap w:val="0"/>
            <w:vAlign w:val="center"/>
          </w:tcPr>
          <w:p w14:paraId="4DE38F6F">
            <w:pPr>
              <w:spacing w:line="34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采购管理制度健全得满分，否则不得分。</w:t>
            </w:r>
          </w:p>
        </w:tc>
        <w:tc>
          <w:tcPr>
            <w:tcW w:w="900" w:type="dxa"/>
            <w:tcBorders>
              <w:top w:val="single" w:color="auto" w:sz="4" w:space="0"/>
              <w:left w:val="nil"/>
              <w:bottom w:val="single" w:color="auto" w:sz="4" w:space="0"/>
              <w:right w:val="single" w:color="auto" w:sz="4" w:space="0"/>
            </w:tcBorders>
            <w:shd w:val="clear" w:color="auto" w:fill="auto"/>
            <w:noWrap w:val="0"/>
            <w:vAlign w:val="center"/>
          </w:tcPr>
          <w:p w14:paraId="27AABF40">
            <w:pPr>
              <w:spacing w:line="340" w:lineRule="exact"/>
              <w:jc w:val="center"/>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1</w:t>
            </w:r>
          </w:p>
        </w:tc>
        <w:tc>
          <w:tcPr>
            <w:tcW w:w="3741" w:type="dxa"/>
            <w:gridSpan w:val="2"/>
            <w:tcBorders>
              <w:top w:val="single" w:color="auto" w:sz="4" w:space="0"/>
              <w:left w:val="nil"/>
              <w:bottom w:val="single" w:color="auto" w:sz="4" w:space="0"/>
              <w:right w:val="single" w:color="auto" w:sz="4" w:space="0"/>
            </w:tcBorders>
            <w:shd w:val="clear" w:color="auto" w:fill="auto"/>
            <w:noWrap w:val="0"/>
            <w:vAlign w:val="center"/>
          </w:tcPr>
          <w:p w14:paraId="38CDA62D">
            <w:pPr>
              <w:spacing w:line="30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中心</w:t>
            </w:r>
            <w:r>
              <w:rPr>
                <w:rFonts w:hint="eastAsia" w:ascii="方正仿宋简体" w:hAnsi="方正仿宋简体" w:eastAsia="方正仿宋简体" w:cs="方正仿宋简体"/>
                <w:color w:val="auto"/>
                <w:kern w:val="0"/>
                <w:sz w:val="24"/>
                <w:szCs w:val="24"/>
                <w:highlight w:val="none"/>
                <w:lang w:eastAsia="zh-CN"/>
              </w:rPr>
              <w:t>制定</w:t>
            </w:r>
            <w:r>
              <w:rPr>
                <w:rFonts w:hint="eastAsia" w:ascii="方正仿宋简体" w:hAnsi="方正仿宋简体" w:eastAsia="方正仿宋简体" w:cs="方正仿宋简体"/>
                <w:color w:val="auto"/>
                <w:kern w:val="0"/>
                <w:sz w:val="24"/>
                <w:szCs w:val="24"/>
                <w:highlight w:val="none"/>
              </w:rPr>
              <w:t>了《采购管理规定》《合同业务管理制度》，《食材采购流程》等一系列的制度，制度建设比较健全。</w:t>
            </w:r>
          </w:p>
        </w:tc>
      </w:tr>
      <w:tr w14:paraId="6D107F28">
        <w:tblPrEx>
          <w:tblCellMar>
            <w:top w:w="0" w:type="dxa"/>
            <w:left w:w="108" w:type="dxa"/>
            <w:bottom w:w="0" w:type="dxa"/>
            <w:right w:w="108" w:type="dxa"/>
          </w:tblCellMar>
        </w:tblPrEx>
        <w:trPr>
          <w:trHeight w:val="480" w:hRule="atLeast"/>
          <w:jc w:val="center"/>
        </w:trPr>
        <w:tc>
          <w:tcPr>
            <w:tcW w:w="1181"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5E1FAF78">
            <w:pPr>
              <w:spacing w:line="360" w:lineRule="exact"/>
              <w:rPr>
                <w:rFonts w:hint="eastAsia" w:ascii="方正仿宋简体" w:hAnsi="方正仿宋简体" w:eastAsia="方正仿宋简体" w:cs="方正仿宋简体"/>
                <w:color w:val="auto"/>
                <w:kern w:val="0"/>
                <w:sz w:val="24"/>
                <w:szCs w:val="24"/>
                <w:highlight w:val="none"/>
              </w:rPr>
            </w:pPr>
          </w:p>
          <w:p w14:paraId="2687E123">
            <w:pPr>
              <w:spacing w:line="360" w:lineRule="exact"/>
              <w:rPr>
                <w:rFonts w:hint="eastAsia" w:ascii="方正仿宋简体" w:hAnsi="方正仿宋简体" w:eastAsia="方正仿宋简体" w:cs="方正仿宋简体"/>
                <w:color w:val="auto"/>
                <w:kern w:val="0"/>
                <w:sz w:val="24"/>
                <w:szCs w:val="24"/>
                <w:highlight w:val="none"/>
              </w:rPr>
            </w:pPr>
          </w:p>
          <w:p w14:paraId="650D1100">
            <w:pPr>
              <w:spacing w:line="360" w:lineRule="exact"/>
              <w:rPr>
                <w:rFonts w:hint="eastAsia" w:ascii="方正仿宋简体" w:hAnsi="方正仿宋简体" w:eastAsia="方正仿宋简体" w:cs="方正仿宋简体"/>
                <w:color w:val="auto"/>
                <w:kern w:val="0"/>
                <w:sz w:val="24"/>
                <w:szCs w:val="24"/>
                <w:highlight w:val="none"/>
              </w:rPr>
            </w:pPr>
          </w:p>
          <w:p w14:paraId="1059CA34">
            <w:pPr>
              <w:spacing w:line="360" w:lineRule="exact"/>
              <w:rPr>
                <w:rFonts w:hint="eastAsia" w:ascii="方正仿宋简体" w:hAnsi="方正仿宋简体" w:eastAsia="方正仿宋简体" w:cs="方正仿宋简体"/>
                <w:color w:val="auto"/>
                <w:kern w:val="0"/>
                <w:sz w:val="24"/>
                <w:szCs w:val="24"/>
                <w:highlight w:val="none"/>
              </w:rPr>
            </w:pPr>
          </w:p>
          <w:p w14:paraId="2F871D1E">
            <w:pPr>
              <w:spacing w:line="360" w:lineRule="exact"/>
              <w:rPr>
                <w:rFonts w:hint="eastAsia" w:ascii="方正仿宋简体" w:hAnsi="方正仿宋简体" w:eastAsia="方正仿宋简体" w:cs="方正仿宋简体"/>
                <w:color w:val="auto"/>
                <w:kern w:val="0"/>
                <w:sz w:val="24"/>
                <w:szCs w:val="24"/>
                <w:highlight w:val="none"/>
              </w:rPr>
            </w:pPr>
          </w:p>
          <w:p w14:paraId="08A9006D">
            <w:pPr>
              <w:spacing w:line="360" w:lineRule="exact"/>
              <w:rPr>
                <w:rFonts w:hint="eastAsia" w:ascii="方正仿宋简体" w:hAnsi="方正仿宋简体" w:eastAsia="方正仿宋简体" w:cs="方正仿宋简体"/>
                <w:color w:val="auto"/>
                <w:kern w:val="0"/>
                <w:sz w:val="24"/>
                <w:szCs w:val="24"/>
                <w:highlight w:val="none"/>
              </w:rPr>
            </w:pPr>
          </w:p>
          <w:p w14:paraId="5CE00845">
            <w:pPr>
              <w:spacing w:line="360" w:lineRule="exact"/>
              <w:rPr>
                <w:rFonts w:hint="eastAsia" w:ascii="方正仿宋简体" w:hAnsi="方正仿宋简体" w:eastAsia="方正仿宋简体" w:cs="方正仿宋简体"/>
                <w:color w:val="auto"/>
                <w:kern w:val="0"/>
                <w:sz w:val="24"/>
                <w:szCs w:val="24"/>
                <w:highlight w:val="none"/>
              </w:rPr>
            </w:pPr>
          </w:p>
          <w:p w14:paraId="2D24B6E7">
            <w:pPr>
              <w:spacing w:line="360" w:lineRule="exac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B部门管理（20分）</w:t>
            </w:r>
          </w:p>
        </w:tc>
        <w:tc>
          <w:tcPr>
            <w:tcW w:w="1216" w:type="dxa"/>
            <w:vMerge w:val="continue"/>
            <w:tcBorders>
              <w:left w:val="single" w:color="auto" w:sz="4" w:space="0"/>
              <w:bottom w:val="single" w:color="auto" w:sz="4" w:space="0"/>
              <w:right w:val="single" w:color="auto" w:sz="4" w:space="0"/>
            </w:tcBorders>
            <w:shd w:val="clear" w:color="auto" w:fill="auto"/>
            <w:noWrap w:val="0"/>
            <w:vAlign w:val="center"/>
          </w:tcPr>
          <w:p w14:paraId="6C429838">
            <w:pPr>
              <w:spacing w:line="360" w:lineRule="exact"/>
              <w:jc w:val="left"/>
              <w:rPr>
                <w:rFonts w:hint="eastAsia" w:ascii="方正仿宋简体" w:hAnsi="方正仿宋简体" w:eastAsia="方正仿宋简体" w:cs="方正仿宋简体"/>
                <w:color w:val="auto"/>
                <w:kern w:val="0"/>
                <w:sz w:val="24"/>
                <w:szCs w:val="24"/>
                <w:highlight w:val="none"/>
              </w:rPr>
            </w:pPr>
          </w:p>
        </w:tc>
        <w:tc>
          <w:tcPr>
            <w:tcW w:w="14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26123F5">
            <w:pPr>
              <w:spacing w:line="34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B42采购管理是否按制度执行</w:t>
            </w:r>
          </w:p>
        </w:tc>
        <w:tc>
          <w:tcPr>
            <w:tcW w:w="655" w:type="dxa"/>
            <w:tcBorders>
              <w:top w:val="single" w:color="auto" w:sz="4" w:space="0"/>
              <w:left w:val="nil"/>
              <w:bottom w:val="single" w:color="auto" w:sz="4" w:space="0"/>
              <w:right w:val="single" w:color="auto" w:sz="4" w:space="0"/>
            </w:tcBorders>
            <w:shd w:val="clear" w:color="auto" w:fill="auto"/>
            <w:noWrap w:val="0"/>
            <w:vAlign w:val="center"/>
          </w:tcPr>
          <w:p w14:paraId="271D5983">
            <w:pPr>
              <w:spacing w:line="340" w:lineRule="exact"/>
              <w:jc w:val="center"/>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1</w:t>
            </w:r>
          </w:p>
        </w:tc>
        <w:tc>
          <w:tcPr>
            <w:tcW w:w="1112" w:type="dxa"/>
            <w:tcBorders>
              <w:top w:val="single" w:color="auto" w:sz="4" w:space="0"/>
              <w:left w:val="nil"/>
              <w:bottom w:val="single" w:color="auto" w:sz="4" w:space="0"/>
              <w:right w:val="single" w:color="auto" w:sz="4" w:space="0"/>
            </w:tcBorders>
            <w:shd w:val="clear" w:color="auto" w:fill="auto"/>
            <w:noWrap w:val="0"/>
            <w:vAlign w:val="center"/>
          </w:tcPr>
          <w:p w14:paraId="1A4A682E">
            <w:pPr>
              <w:spacing w:line="340" w:lineRule="exact"/>
              <w:jc w:val="center"/>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执行</w:t>
            </w:r>
          </w:p>
        </w:tc>
        <w:tc>
          <w:tcPr>
            <w:tcW w:w="2589" w:type="dxa"/>
            <w:tcBorders>
              <w:top w:val="single" w:color="auto" w:sz="4" w:space="0"/>
              <w:left w:val="nil"/>
              <w:bottom w:val="single" w:color="auto" w:sz="4" w:space="0"/>
              <w:right w:val="single" w:color="auto" w:sz="4" w:space="0"/>
            </w:tcBorders>
            <w:shd w:val="clear" w:color="auto" w:fill="auto"/>
            <w:noWrap w:val="0"/>
            <w:vAlign w:val="center"/>
          </w:tcPr>
          <w:p w14:paraId="54E7A770">
            <w:pPr>
              <w:spacing w:line="34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考核采购管理是否按制度执行</w:t>
            </w:r>
          </w:p>
        </w:tc>
        <w:tc>
          <w:tcPr>
            <w:tcW w:w="2160" w:type="dxa"/>
            <w:tcBorders>
              <w:top w:val="single" w:color="auto" w:sz="4" w:space="0"/>
              <w:left w:val="nil"/>
              <w:bottom w:val="single" w:color="auto" w:sz="4" w:space="0"/>
              <w:right w:val="single" w:color="auto" w:sz="4" w:space="0"/>
            </w:tcBorders>
            <w:shd w:val="clear" w:color="auto" w:fill="auto"/>
            <w:noWrap w:val="0"/>
            <w:vAlign w:val="center"/>
          </w:tcPr>
          <w:p w14:paraId="780A9177">
            <w:pPr>
              <w:spacing w:line="34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采购管理按制度执行得满分，否则不得分。</w:t>
            </w:r>
          </w:p>
        </w:tc>
        <w:tc>
          <w:tcPr>
            <w:tcW w:w="900" w:type="dxa"/>
            <w:tcBorders>
              <w:top w:val="single" w:color="auto" w:sz="4" w:space="0"/>
              <w:left w:val="nil"/>
              <w:bottom w:val="single" w:color="auto" w:sz="4" w:space="0"/>
              <w:right w:val="single" w:color="auto" w:sz="4" w:space="0"/>
            </w:tcBorders>
            <w:shd w:val="clear" w:color="auto" w:fill="auto"/>
            <w:noWrap w:val="0"/>
            <w:vAlign w:val="center"/>
          </w:tcPr>
          <w:p w14:paraId="61E6EC7D">
            <w:pPr>
              <w:spacing w:line="340" w:lineRule="exact"/>
              <w:jc w:val="center"/>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1</w:t>
            </w:r>
          </w:p>
        </w:tc>
        <w:tc>
          <w:tcPr>
            <w:tcW w:w="3741" w:type="dxa"/>
            <w:gridSpan w:val="2"/>
            <w:tcBorders>
              <w:top w:val="single" w:color="auto" w:sz="4" w:space="0"/>
              <w:left w:val="nil"/>
              <w:bottom w:val="single" w:color="auto" w:sz="4" w:space="0"/>
              <w:right w:val="single" w:color="auto" w:sz="4" w:space="0"/>
            </w:tcBorders>
            <w:shd w:val="clear" w:color="auto" w:fill="auto"/>
            <w:noWrap w:val="0"/>
            <w:vAlign w:val="center"/>
          </w:tcPr>
          <w:p w14:paraId="182F2950">
            <w:pPr>
              <w:spacing w:line="34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市妇儿中心采购均按相关规定严格执行，流程规范，手续齐全。</w:t>
            </w:r>
          </w:p>
        </w:tc>
      </w:tr>
      <w:tr w14:paraId="03163BDB">
        <w:tblPrEx>
          <w:tblCellMar>
            <w:top w:w="0" w:type="dxa"/>
            <w:left w:w="108" w:type="dxa"/>
            <w:bottom w:w="0" w:type="dxa"/>
            <w:right w:w="108" w:type="dxa"/>
          </w:tblCellMar>
        </w:tblPrEx>
        <w:trPr>
          <w:trHeight w:val="1828" w:hRule="atLeast"/>
          <w:jc w:val="center"/>
        </w:trPr>
        <w:tc>
          <w:tcPr>
            <w:tcW w:w="1181"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25C2E575">
            <w:pPr>
              <w:spacing w:line="360" w:lineRule="exact"/>
              <w:jc w:val="left"/>
              <w:rPr>
                <w:rFonts w:hint="eastAsia" w:ascii="方正仿宋简体" w:hAnsi="方正仿宋简体" w:eastAsia="方正仿宋简体" w:cs="方正仿宋简体"/>
                <w:color w:val="auto"/>
                <w:kern w:val="0"/>
                <w:sz w:val="24"/>
                <w:szCs w:val="24"/>
                <w:highlight w:val="none"/>
              </w:rPr>
            </w:pPr>
          </w:p>
        </w:tc>
        <w:tc>
          <w:tcPr>
            <w:tcW w:w="1216" w:type="dxa"/>
            <w:vMerge w:val="restart"/>
            <w:tcBorders>
              <w:top w:val="single" w:color="auto" w:sz="4" w:space="0"/>
              <w:left w:val="single" w:color="auto" w:sz="4" w:space="0"/>
              <w:right w:val="single" w:color="auto" w:sz="4" w:space="0"/>
            </w:tcBorders>
            <w:shd w:val="clear" w:color="auto" w:fill="auto"/>
            <w:noWrap w:val="0"/>
            <w:vAlign w:val="center"/>
          </w:tcPr>
          <w:p w14:paraId="3B3F4A1A">
            <w:pPr>
              <w:spacing w:line="36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B5内部控制管理</w:t>
            </w:r>
          </w:p>
          <w:p w14:paraId="6F241FCD">
            <w:pPr>
              <w:spacing w:line="36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（3分）</w:t>
            </w:r>
          </w:p>
        </w:tc>
        <w:tc>
          <w:tcPr>
            <w:tcW w:w="14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B2D84E0">
            <w:pPr>
              <w:spacing w:line="34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B51内部控制建设情况</w:t>
            </w:r>
          </w:p>
        </w:tc>
        <w:tc>
          <w:tcPr>
            <w:tcW w:w="655" w:type="dxa"/>
            <w:tcBorders>
              <w:top w:val="single" w:color="auto" w:sz="4" w:space="0"/>
              <w:left w:val="nil"/>
              <w:bottom w:val="single" w:color="auto" w:sz="4" w:space="0"/>
              <w:right w:val="single" w:color="auto" w:sz="4" w:space="0"/>
            </w:tcBorders>
            <w:shd w:val="clear" w:color="auto" w:fill="auto"/>
            <w:noWrap w:val="0"/>
            <w:vAlign w:val="center"/>
          </w:tcPr>
          <w:p w14:paraId="20802866">
            <w:pPr>
              <w:spacing w:line="340" w:lineRule="exact"/>
              <w:jc w:val="center"/>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1</w:t>
            </w:r>
          </w:p>
        </w:tc>
        <w:tc>
          <w:tcPr>
            <w:tcW w:w="1112" w:type="dxa"/>
            <w:tcBorders>
              <w:top w:val="single" w:color="auto" w:sz="4" w:space="0"/>
              <w:left w:val="nil"/>
              <w:bottom w:val="single" w:color="auto" w:sz="4" w:space="0"/>
              <w:right w:val="single" w:color="auto" w:sz="4" w:space="0"/>
            </w:tcBorders>
            <w:shd w:val="clear" w:color="auto" w:fill="auto"/>
            <w:noWrap w:val="0"/>
            <w:vAlign w:val="center"/>
          </w:tcPr>
          <w:p w14:paraId="41994126">
            <w:pPr>
              <w:spacing w:line="340" w:lineRule="exact"/>
              <w:jc w:val="center"/>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健全</w:t>
            </w:r>
          </w:p>
        </w:tc>
        <w:tc>
          <w:tcPr>
            <w:tcW w:w="2589" w:type="dxa"/>
            <w:tcBorders>
              <w:top w:val="single" w:color="auto" w:sz="4" w:space="0"/>
              <w:left w:val="nil"/>
              <w:bottom w:val="single" w:color="auto" w:sz="4" w:space="0"/>
              <w:right w:val="single" w:color="auto" w:sz="4" w:space="0"/>
            </w:tcBorders>
            <w:shd w:val="clear" w:color="auto" w:fill="auto"/>
            <w:noWrap w:val="0"/>
            <w:vAlign w:val="center"/>
          </w:tcPr>
          <w:p w14:paraId="7FD6A866">
            <w:pPr>
              <w:spacing w:line="34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考核部门内部控制建设情况，是否有内部控制制度落实在手册等文本上</w:t>
            </w:r>
          </w:p>
        </w:tc>
        <w:tc>
          <w:tcPr>
            <w:tcW w:w="2160" w:type="dxa"/>
            <w:tcBorders>
              <w:top w:val="single" w:color="auto" w:sz="4" w:space="0"/>
              <w:left w:val="nil"/>
              <w:bottom w:val="single" w:color="auto" w:sz="4" w:space="0"/>
              <w:right w:val="single" w:color="auto" w:sz="4" w:space="0"/>
            </w:tcBorders>
            <w:shd w:val="clear" w:color="auto" w:fill="auto"/>
            <w:noWrap w:val="0"/>
            <w:vAlign w:val="center"/>
          </w:tcPr>
          <w:p w14:paraId="18048900">
            <w:pPr>
              <w:spacing w:line="34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内部控制落实到位得满分，否则不得分。</w:t>
            </w:r>
          </w:p>
        </w:tc>
        <w:tc>
          <w:tcPr>
            <w:tcW w:w="900" w:type="dxa"/>
            <w:tcBorders>
              <w:top w:val="single" w:color="auto" w:sz="4" w:space="0"/>
              <w:left w:val="nil"/>
              <w:bottom w:val="single" w:color="auto" w:sz="4" w:space="0"/>
              <w:right w:val="single" w:color="auto" w:sz="4" w:space="0"/>
            </w:tcBorders>
            <w:shd w:val="clear" w:color="auto" w:fill="auto"/>
            <w:noWrap w:val="0"/>
            <w:vAlign w:val="center"/>
          </w:tcPr>
          <w:p w14:paraId="37760B71">
            <w:pPr>
              <w:spacing w:line="340" w:lineRule="exact"/>
              <w:jc w:val="center"/>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1</w:t>
            </w:r>
          </w:p>
        </w:tc>
        <w:tc>
          <w:tcPr>
            <w:tcW w:w="3741" w:type="dxa"/>
            <w:gridSpan w:val="2"/>
            <w:tcBorders>
              <w:top w:val="single" w:color="auto" w:sz="4" w:space="0"/>
              <w:left w:val="nil"/>
              <w:bottom w:val="single" w:color="auto" w:sz="4" w:space="0"/>
              <w:right w:val="single" w:color="auto" w:sz="4" w:space="0"/>
            </w:tcBorders>
            <w:shd w:val="clear" w:color="auto" w:fill="auto"/>
            <w:noWrap w:val="0"/>
            <w:vAlign w:val="center"/>
          </w:tcPr>
          <w:p w14:paraId="7CA1F4AE">
            <w:pPr>
              <w:spacing w:line="30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内控制度建设比较规范，相应建立了预算业务管理、收支业务管理、采购业务管理、资产管理、合同管理、建设项目管理制度、印章管理制度等相关制度，落实规范内控管理。</w:t>
            </w:r>
          </w:p>
        </w:tc>
      </w:tr>
      <w:tr w14:paraId="3649782A">
        <w:tblPrEx>
          <w:shd w:val="clear" w:color="auto" w:fill="auto"/>
          <w:tblCellMar>
            <w:top w:w="0" w:type="dxa"/>
            <w:left w:w="108" w:type="dxa"/>
            <w:bottom w:w="0" w:type="dxa"/>
            <w:right w:w="108" w:type="dxa"/>
          </w:tblCellMar>
        </w:tblPrEx>
        <w:trPr>
          <w:trHeight w:val="1484" w:hRule="atLeast"/>
          <w:jc w:val="center"/>
        </w:trPr>
        <w:tc>
          <w:tcPr>
            <w:tcW w:w="1181"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7CE87185">
            <w:pPr>
              <w:spacing w:line="360" w:lineRule="exact"/>
              <w:jc w:val="left"/>
              <w:rPr>
                <w:rFonts w:hint="eastAsia" w:ascii="方正仿宋简体" w:hAnsi="方正仿宋简体" w:eastAsia="方正仿宋简体" w:cs="方正仿宋简体"/>
                <w:color w:val="auto"/>
                <w:kern w:val="0"/>
                <w:sz w:val="24"/>
                <w:szCs w:val="24"/>
                <w:highlight w:val="none"/>
              </w:rPr>
            </w:pPr>
          </w:p>
        </w:tc>
        <w:tc>
          <w:tcPr>
            <w:tcW w:w="1216" w:type="dxa"/>
            <w:vMerge w:val="continue"/>
            <w:tcBorders>
              <w:left w:val="single" w:color="auto" w:sz="4" w:space="0"/>
              <w:right w:val="single" w:color="auto" w:sz="4" w:space="0"/>
            </w:tcBorders>
            <w:shd w:val="clear" w:color="auto" w:fill="auto"/>
            <w:noWrap w:val="0"/>
            <w:vAlign w:val="center"/>
          </w:tcPr>
          <w:p w14:paraId="10CD844F">
            <w:pPr>
              <w:spacing w:line="360" w:lineRule="exact"/>
              <w:jc w:val="left"/>
              <w:rPr>
                <w:rFonts w:hint="eastAsia" w:ascii="方正仿宋简体" w:hAnsi="方正仿宋简体" w:eastAsia="方正仿宋简体" w:cs="方正仿宋简体"/>
                <w:color w:val="auto"/>
                <w:kern w:val="0"/>
                <w:sz w:val="24"/>
                <w:szCs w:val="24"/>
                <w:highlight w:val="none"/>
              </w:rPr>
            </w:pPr>
          </w:p>
        </w:tc>
        <w:tc>
          <w:tcPr>
            <w:tcW w:w="14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C4DE189">
            <w:pPr>
              <w:spacing w:line="36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B52内部控制执行情况</w:t>
            </w:r>
          </w:p>
        </w:tc>
        <w:tc>
          <w:tcPr>
            <w:tcW w:w="655" w:type="dxa"/>
            <w:tcBorders>
              <w:top w:val="single" w:color="auto" w:sz="4" w:space="0"/>
              <w:left w:val="nil"/>
              <w:bottom w:val="single" w:color="auto" w:sz="4" w:space="0"/>
              <w:right w:val="single" w:color="auto" w:sz="4" w:space="0"/>
            </w:tcBorders>
            <w:shd w:val="clear" w:color="auto" w:fill="auto"/>
            <w:noWrap w:val="0"/>
            <w:vAlign w:val="center"/>
          </w:tcPr>
          <w:p w14:paraId="73148F12">
            <w:pPr>
              <w:spacing w:line="360" w:lineRule="exact"/>
              <w:jc w:val="center"/>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1</w:t>
            </w:r>
          </w:p>
        </w:tc>
        <w:tc>
          <w:tcPr>
            <w:tcW w:w="1112" w:type="dxa"/>
            <w:tcBorders>
              <w:top w:val="single" w:color="auto" w:sz="4" w:space="0"/>
              <w:left w:val="nil"/>
              <w:bottom w:val="single" w:color="auto" w:sz="4" w:space="0"/>
              <w:right w:val="single" w:color="auto" w:sz="4" w:space="0"/>
            </w:tcBorders>
            <w:shd w:val="clear" w:color="auto" w:fill="auto"/>
            <w:noWrap w:val="0"/>
            <w:vAlign w:val="center"/>
          </w:tcPr>
          <w:p w14:paraId="1D9B416B">
            <w:pPr>
              <w:spacing w:line="360" w:lineRule="exact"/>
              <w:jc w:val="center"/>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执行</w:t>
            </w:r>
          </w:p>
        </w:tc>
        <w:tc>
          <w:tcPr>
            <w:tcW w:w="2589" w:type="dxa"/>
            <w:tcBorders>
              <w:top w:val="single" w:color="auto" w:sz="4" w:space="0"/>
              <w:left w:val="nil"/>
              <w:bottom w:val="single" w:color="auto" w:sz="4" w:space="0"/>
              <w:right w:val="single" w:color="auto" w:sz="4" w:space="0"/>
            </w:tcBorders>
            <w:shd w:val="clear" w:color="auto" w:fill="auto"/>
            <w:noWrap w:val="0"/>
            <w:vAlign w:val="center"/>
          </w:tcPr>
          <w:p w14:paraId="01DFD539">
            <w:pPr>
              <w:spacing w:line="36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考核部门内部控制执行情况，通过重新执行程序评价内控是否有效</w:t>
            </w:r>
          </w:p>
        </w:tc>
        <w:tc>
          <w:tcPr>
            <w:tcW w:w="2160" w:type="dxa"/>
            <w:tcBorders>
              <w:top w:val="single" w:color="auto" w:sz="4" w:space="0"/>
              <w:left w:val="nil"/>
              <w:bottom w:val="single" w:color="auto" w:sz="4" w:space="0"/>
              <w:right w:val="single" w:color="auto" w:sz="4" w:space="0"/>
            </w:tcBorders>
            <w:shd w:val="clear" w:color="auto" w:fill="auto"/>
            <w:noWrap w:val="0"/>
            <w:vAlign w:val="center"/>
          </w:tcPr>
          <w:p w14:paraId="692C9AB7">
            <w:pPr>
              <w:spacing w:line="36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内部控制执行有效得满分，否则不得分。</w:t>
            </w:r>
          </w:p>
        </w:tc>
        <w:tc>
          <w:tcPr>
            <w:tcW w:w="900" w:type="dxa"/>
            <w:tcBorders>
              <w:top w:val="single" w:color="auto" w:sz="4" w:space="0"/>
              <w:left w:val="nil"/>
              <w:bottom w:val="single" w:color="auto" w:sz="4" w:space="0"/>
              <w:right w:val="single" w:color="auto" w:sz="4" w:space="0"/>
            </w:tcBorders>
            <w:shd w:val="clear" w:color="auto" w:fill="auto"/>
            <w:noWrap w:val="0"/>
            <w:vAlign w:val="center"/>
          </w:tcPr>
          <w:p w14:paraId="5C05F93E">
            <w:pPr>
              <w:spacing w:line="360" w:lineRule="exact"/>
              <w:jc w:val="center"/>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1</w:t>
            </w:r>
          </w:p>
        </w:tc>
        <w:tc>
          <w:tcPr>
            <w:tcW w:w="3741" w:type="dxa"/>
            <w:gridSpan w:val="2"/>
            <w:tcBorders>
              <w:top w:val="single" w:color="auto" w:sz="4" w:space="0"/>
              <w:left w:val="nil"/>
              <w:bottom w:val="single" w:color="auto" w:sz="4" w:space="0"/>
              <w:right w:val="single" w:color="auto" w:sz="4" w:space="0"/>
            </w:tcBorders>
            <w:shd w:val="clear" w:color="auto" w:fill="auto"/>
            <w:noWrap w:val="0"/>
            <w:vAlign w:val="center"/>
          </w:tcPr>
          <w:p w14:paraId="72F3E4AB">
            <w:pPr>
              <w:spacing w:line="30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对各个部门负责的事务也进行了梳理和权力配置，用部门、项目、个人目标责任书明晰事权，内控制度执行有效。会议纪要记录事项比较详细，对于3万元（含3万元）以上支出需</w:t>
            </w:r>
            <w:r>
              <w:rPr>
                <w:rFonts w:hint="eastAsia" w:ascii="方正仿宋简体" w:hAnsi="方正仿宋简体" w:eastAsia="方正仿宋简体" w:cs="方正仿宋简体"/>
                <w:color w:val="auto"/>
                <w:kern w:val="0"/>
                <w:sz w:val="24"/>
                <w:szCs w:val="24"/>
                <w:highlight w:val="none"/>
                <w:lang w:val="en-US" w:eastAsia="zh-CN"/>
              </w:rPr>
              <w:t>党政联席会</w:t>
            </w:r>
            <w:r>
              <w:rPr>
                <w:rFonts w:hint="eastAsia" w:ascii="方正仿宋简体" w:hAnsi="方正仿宋简体" w:eastAsia="方正仿宋简体" w:cs="方正仿宋简体"/>
                <w:color w:val="auto"/>
                <w:kern w:val="0"/>
                <w:sz w:val="24"/>
                <w:szCs w:val="24"/>
                <w:highlight w:val="none"/>
              </w:rPr>
              <w:t>讨论通过使用方案，10</w:t>
            </w:r>
            <w:r>
              <w:rPr>
                <w:rFonts w:hint="eastAsia" w:ascii="方正仿宋简体" w:hAnsi="方正仿宋简体" w:eastAsia="方正仿宋简体" w:cs="方正仿宋简体"/>
                <w:color w:val="auto"/>
                <w:kern w:val="0"/>
                <w:sz w:val="24"/>
                <w:szCs w:val="24"/>
                <w:highlight w:val="none"/>
                <w:lang w:eastAsia="zh-CN"/>
              </w:rPr>
              <w:t>万元</w:t>
            </w:r>
            <w:r>
              <w:rPr>
                <w:rFonts w:hint="eastAsia" w:ascii="方正仿宋简体" w:hAnsi="方正仿宋简体" w:eastAsia="方正仿宋简体" w:cs="方正仿宋简体"/>
                <w:color w:val="auto"/>
                <w:kern w:val="0"/>
                <w:sz w:val="24"/>
                <w:szCs w:val="24"/>
                <w:highlight w:val="none"/>
              </w:rPr>
              <w:t>以上的支出报妇联主席办公会审批方案，包括金额的分配支出，支出对象的情况，对资金后续的监督，都记录得比较详细；对于超过1万元以上的采购，物资的数量，金额，型号，均有比较详细</w:t>
            </w:r>
            <w:r>
              <w:rPr>
                <w:rFonts w:hint="eastAsia" w:ascii="方正仿宋简体" w:hAnsi="方正仿宋简体" w:eastAsia="方正仿宋简体" w:cs="方正仿宋简体"/>
                <w:color w:val="auto"/>
                <w:kern w:val="0"/>
                <w:sz w:val="24"/>
                <w:szCs w:val="24"/>
                <w:highlight w:val="none"/>
                <w:lang w:eastAsia="zh-CN"/>
              </w:rPr>
              <w:t>地</w:t>
            </w:r>
            <w:r>
              <w:rPr>
                <w:rFonts w:hint="eastAsia" w:ascii="方正仿宋简体" w:hAnsi="方正仿宋简体" w:eastAsia="方正仿宋简体" w:cs="方正仿宋简体"/>
                <w:color w:val="auto"/>
                <w:kern w:val="0"/>
                <w:sz w:val="24"/>
                <w:szCs w:val="24"/>
                <w:highlight w:val="none"/>
              </w:rPr>
              <w:t>记录；对于重大事项的决策，各领导的观点与意见均记录得比较详细。</w:t>
            </w:r>
          </w:p>
        </w:tc>
      </w:tr>
      <w:tr w14:paraId="6EF09895">
        <w:tblPrEx>
          <w:shd w:val="clear" w:color="auto" w:fill="auto"/>
          <w:tblCellMar>
            <w:top w:w="0" w:type="dxa"/>
            <w:left w:w="108" w:type="dxa"/>
            <w:bottom w:w="0" w:type="dxa"/>
            <w:right w:w="108" w:type="dxa"/>
          </w:tblCellMar>
        </w:tblPrEx>
        <w:trPr>
          <w:trHeight w:val="368" w:hRule="atLeast"/>
          <w:jc w:val="center"/>
        </w:trPr>
        <w:tc>
          <w:tcPr>
            <w:tcW w:w="1181"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454D8BCD">
            <w:pPr>
              <w:spacing w:line="360" w:lineRule="exact"/>
              <w:jc w:val="left"/>
              <w:rPr>
                <w:rFonts w:hint="eastAsia" w:ascii="方正仿宋简体" w:hAnsi="方正仿宋简体" w:eastAsia="方正仿宋简体" w:cs="方正仿宋简体"/>
                <w:color w:val="auto"/>
                <w:kern w:val="0"/>
                <w:sz w:val="24"/>
                <w:szCs w:val="24"/>
                <w:highlight w:val="none"/>
              </w:rPr>
            </w:pPr>
          </w:p>
        </w:tc>
        <w:tc>
          <w:tcPr>
            <w:tcW w:w="1216" w:type="dxa"/>
            <w:vMerge w:val="continue"/>
            <w:tcBorders>
              <w:left w:val="single" w:color="auto" w:sz="4" w:space="0"/>
              <w:bottom w:val="single" w:color="auto" w:sz="4" w:space="0"/>
              <w:right w:val="single" w:color="auto" w:sz="4" w:space="0"/>
            </w:tcBorders>
            <w:shd w:val="clear" w:color="auto" w:fill="auto"/>
            <w:noWrap w:val="0"/>
            <w:vAlign w:val="center"/>
          </w:tcPr>
          <w:p w14:paraId="331F1AD7">
            <w:pPr>
              <w:spacing w:line="360" w:lineRule="exact"/>
              <w:jc w:val="left"/>
              <w:rPr>
                <w:rFonts w:hint="eastAsia" w:ascii="方正仿宋简体" w:hAnsi="方正仿宋简体" w:eastAsia="方正仿宋简体" w:cs="方正仿宋简体"/>
                <w:color w:val="auto"/>
                <w:kern w:val="0"/>
                <w:sz w:val="24"/>
                <w:szCs w:val="24"/>
                <w:highlight w:val="none"/>
              </w:rPr>
            </w:pPr>
          </w:p>
        </w:tc>
        <w:tc>
          <w:tcPr>
            <w:tcW w:w="14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EAAC391">
            <w:pPr>
              <w:spacing w:line="36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B53内部控制监督评价</w:t>
            </w:r>
          </w:p>
        </w:tc>
        <w:tc>
          <w:tcPr>
            <w:tcW w:w="655" w:type="dxa"/>
            <w:tcBorders>
              <w:top w:val="single" w:color="auto" w:sz="4" w:space="0"/>
              <w:left w:val="nil"/>
              <w:bottom w:val="single" w:color="auto" w:sz="4" w:space="0"/>
              <w:right w:val="single" w:color="auto" w:sz="4" w:space="0"/>
            </w:tcBorders>
            <w:shd w:val="clear" w:color="auto" w:fill="auto"/>
            <w:noWrap w:val="0"/>
            <w:vAlign w:val="center"/>
          </w:tcPr>
          <w:p w14:paraId="29318AC2">
            <w:pPr>
              <w:spacing w:line="360" w:lineRule="exact"/>
              <w:jc w:val="center"/>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1</w:t>
            </w:r>
          </w:p>
        </w:tc>
        <w:tc>
          <w:tcPr>
            <w:tcW w:w="1112" w:type="dxa"/>
            <w:tcBorders>
              <w:top w:val="single" w:color="auto" w:sz="4" w:space="0"/>
              <w:left w:val="nil"/>
              <w:bottom w:val="single" w:color="auto" w:sz="4" w:space="0"/>
              <w:right w:val="single" w:color="auto" w:sz="4" w:space="0"/>
            </w:tcBorders>
            <w:shd w:val="clear" w:color="auto" w:fill="auto"/>
            <w:noWrap w:val="0"/>
            <w:vAlign w:val="center"/>
          </w:tcPr>
          <w:p w14:paraId="16B8DB0A">
            <w:pPr>
              <w:spacing w:line="360" w:lineRule="exact"/>
              <w:jc w:val="center"/>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有效</w:t>
            </w:r>
          </w:p>
        </w:tc>
        <w:tc>
          <w:tcPr>
            <w:tcW w:w="2589" w:type="dxa"/>
            <w:tcBorders>
              <w:top w:val="single" w:color="auto" w:sz="4" w:space="0"/>
              <w:left w:val="nil"/>
              <w:bottom w:val="single" w:color="auto" w:sz="4" w:space="0"/>
              <w:right w:val="single" w:color="auto" w:sz="4" w:space="0"/>
            </w:tcBorders>
            <w:shd w:val="clear" w:color="auto" w:fill="auto"/>
            <w:noWrap w:val="0"/>
            <w:vAlign w:val="center"/>
          </w:tcPr>
          <w:p w14:paraId="6DC53224">
            <w:pPr>
              <w:spacing w:line="32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考核部门内部控制监督评价情况，是否有单位内部内控评价报告。</w:t>
            </w:r>
          </w:p>
        </w:tc>
        <w:tc>
          <w:tcPr>
            <w:tcW w:w="2160" w:type="dxa"/>
            <w:tcBorders>
              <w:top w:val="single" w:color="auto" w:sz="4" w:space="0"/>
              <w:left w:val="nil"/>
              <w:bottom w:val="single" w:color="auto" w:sz="4" w:space="0"/>
              <w:right w:val="single" w:color="auto" w:sz="4" w:space="0"/>
            </w:tcBorders>
            <w:shd w:val="clear" w:color="auto" w:fill="auto"/>
            <w:noWrap w:val="0"/>
            <w:vAlign w:val="center"/>
          </w:tcPr>
          <w:p w14:paraId="56ABB955">
            <w:pPr>
              <w:spacing w:line="36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内部控制监督评价有效得满分，否则不得分。</w:t>
            </w:r>
          </w:p>
        </w:tc>
        <w:tc>
          <w:tcPr>
            <w:tcW w:w="900" w:type="dxa"/>
            <w:tcBorders>
              <w:top w:val="single" w:color="auto" w:sz="4" w:space="0"/>
              <w:left w:val="nil"/>
              <w:bottom w:val="single" w:color="auto" w:sz="4" w:space="0"/>
              <w:right w:val="single" w:color="auto" w:sz="4" w:space="0"/>
            </w:tcBorders>
            <w:shd w:val="clear" w:color="auto" w:fill="auto"/>
            <w:noWrap w:val="0"/>
            <w:vAlign w:val="center"/>
          </w:tcPr>
          <w:p w14:paraId="37E4DCC6">
            <w:pPr>
              <w:spacing w:line="360" w:lineRule="exact"/>
              <w:jc w:val="center"/>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1</w:t>
            </w:r>
          </w:p>
        </w:tc>
        <w:tc>
          <w:tcPr>
            <w:tcW w:w="3741" w:type="dxa"/>
            <w:gridSpan w:val="2"/>
            <w:tcBorders>
              <w:top w:val="single" w:color="auto" w:sz="4" w:space="0"/>
              <w:left w:val="nil"/>
              <w:bottom w:val="single" w:color="auto" w:sz="4" w:space="0"/>
              <w:right w:val="single" w:color="auto" w:sz="4" w:space="0"/>
            </w:tcBorders>
            <w:shd w:val="clear" w:color="auto" w:fill="auto"/>
            <w:noWrap w:val="0"/>
            <w:vAlign w:val="center"/>
          </w:tcPr>
          <w:p w14:paraId="56D6956C">
            <w:pPr>
              <w:spacing w:line="36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建立了风险、权力、岗位、责任、制度有机结合的、完备的内控体系，内部控制监督评价有效，每年按时上报部门内部控制报告。</w:t>
            </w:r>
          </w:p>
        </w:tc>
      </w:tr>
      <w:tr w14:paraId="0A9D4191">
        <w:tblPrEx>
          <w:tblCellMar>
            <w:top w:w="0" w:type="dxa"/>
            <w:left w:w="108" w:type="dxa"/>
            <w:bottom w:w="0" w:type="dxa"/>
            <w:right w:w="108" w:type="dxa"/>
          </w:tblCellMar>
        </w:tblPrEx>
        <w:trPr>
          <w:trHeight w:val="1490" w:hRule="atLeast"/>
          <w:jc w:val="center"/>
        </w:trPr>
        <w:tc>
          <w:tcPr>
            <w:tcW w:w="1181"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47DFDD20">
            <w:pPr>
              <w:spacing w:line="360" w:lineRule="exac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B部门管理（20分）</w:t>
            </w:r>
          </w:p>
        </w:tc>
        <w:tc>
          <w:tcPr>
            <w:tcW w:w="1216" w:type="dxa"/>
            <w:vMerge w:val="restart"/>
            <w:tcBorders>
              <w:top w:val="single" w:color="auto" w:sz="4" w:space="0"/>
              <w:left w:val="single" w:color="auto" w:sz="4" w:space="0"/>
              <w:right w:val="single" w:color="auto" w:sz="4" w:space="0"/>
            </w:tcBorders>
            <w:shd w:val="clear" w:color="auto" w:fill="auto"/>
            <w:noWrap w:val="0"/>
            <w:vAlign w:val="center"/>
          </w:tcPr>
          <w:p w14:paraId="63D8C4C0">
            <w:pPr>
              <w:spacing w:line="36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B6预算绩效管理</w:t>
            </w:r>
          </w:p>
          <w:p w14:paraId="7E94D6CD">
            <w:pPr>
              <w:spacing w:line="36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（5分）</w:t>
            </w:r>
          </w:p>
        </w:tc>
        <w:tc>
          <w:tcPr>
            <w:tcW w:w="14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5044AEC">
            <w:pPr>
              <w:spacing w:line="36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B61组织管理情况</w:t>
            </w:r>
          </w:p>
        </w:tc>
        <w:tc>
          <w:tcPr>
            <w:tcW w:w="655" w:type="dxa"/>
            <w:tcBorders>
              <w:top w:val="single" w:color="auto" w:sz="4" w:space="0"/>
              <w:left w:val="nil"/>
              <w:bottom w:val="single" w:color="auto" w:sz="4" w:space="0"/>
              <w:right w:val="single" w:color="auto" w:sz="4" w:space="0"/>
            </w:tcBorders>
            <w:shd w:val="clear" w:color="auto" w:fill="auto"/>
            <w:noWrap w:val="0"/>
            <w:vAlign w:val="center"/>
          </w:tcPr>
          <w:p w14:paraId="4E8FC9D7">
            <w:pPr>
              <w:spacing w:line="360" w:lineRule="exact"/>
              <w:jc w:val="center"/>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2</w:t>
            </w:r>
          </w:p>
        </w:tc>
        <w:tc>
          <w:tcPr>
            <w:tcW w:w="1112" w:type="dxa"/>
            <w:tcBorders>
              <w:top w:val="single" w:color="auto" w:sz="4" w:space="0"/>
              <w:left w:val="nil"/>
              <w:bottom w:val="single" w:color="auto" w:sz="4" w:space="0"/>
              <w:right w:val="single" w:color="auto" w:sz="4" w:space="0"/>
            </w:tcBorders>
            <w:shd w:val="clear" w:color="auto" w:fill="auto"/>
            <w:noWrap w:val="0"/>
            <w:vAlign w:val="center"/>
          </w:tcPr>
          <w:p w14:paraId="4A37CEF8">
            <w:pPr>
              <w:spacing w:line="360" w:lineRule="exact"/>
              <w:jc w:val="center"/>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良好</w:t>
            </w:r>
          </w:p>
        </w:tc>
        <w:tc>
          <w:tcPr>
            <w:tcW w:w="2589" w:type="dxa"/>
            <w:tcBorders>
              <w:top w:val="single" w:color="auto" w:sz="4" w:space="0"/>
              <w:left w:val="nil"/>
              <w:bottom w:val="single" w:color="auto" w:sz="4" w:space="0"/>
              <w:right w:val="single" w:color="auto" w:sz="4" w:space="0"/>
            </w:tcBorders>
            <w:shd w:val="clear" w:color="auto" w:fill="auto"/>
            <w:noWrap w:val="0"/>
            <w:vAlign w:val="center"/>
          </w:tcPr>
          <w:p w14:paraId="61627516">
            <w:pPr>
              <w:spacing w:line="32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主要包含制度建设、职能配置等情况</w:t>
            </w:r>
          </w:p>
        </w:tc>
        <w:tc>
          <w:tcPr>
            <w:tcW w:w="2160" w:type="dxa"/>
            <w:tcBorders>
              <w:top w:val="single" w:color="auto" w:sz="4" w:space="0"/>
              <w:left w:val="nil"/>
              <w:bottom w:val="single" w:color="auto" w:sz="4" w:space="0"/>
              <w:right w:val="single" w:color="auto" w:sz="4" w:space="0"/>
            </w:tcBorders>
            <w:shd w:val="clear" w:color="auto" w:fill="auto"/>
            <w:noWrap w:val="0"/>
            <w:vAlign w:val="center"/>
          </w:tcPr>
          <w:p w14:paraId="7E1C214D">
            <w:pPr>
              <w:spacing w:line="30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组织管理良好，有制度建设、职能配置得满分，否则符合一项得0.5分。</w:t>
            </w:r>
          </w:p>
        </w:tc>
        <w:tc>
          <w:tcPr>
            <w:tcW w:w="900" w:type="dxa"/>
            <w:tcBorders>
              <w:top w:val="single" w:color="auto" w:sz="4" w:space="0"/>
              <w:left w:val="nil"/>
              <w:bottom w:val="single" w:color="auto" w:sz="4" w:space="0"/>
              <w:right w:val="single" w:color="auto" w:sz="4" w:space="0"/>
            </w:tcBorders>
            <w:shd w:val="clear" w:color="auto" w:fill="auto"/>
            <w:noWrap w:val="0"/>
            <w:vAlign w:val="center"/>
          </w:tcPr>
          <w:p w14:paraId="6F42F91B">
            <w:pPr>
              <w:spacing w:line="360" w:lineRule="exact"/>
              <w:jc w:val="center"/>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2</w:t>
            </w:r>
          </w:p>
        </w:tc>
        <w:tc>
          <w:tcPr>
            <w:tcW w:w="3741" w:type="dxa"/>
            <w:gridSpan w:val="2"/>
            <w:tcBorders>
              <w:top w:val="single" w:color="auto" w:sz="4" w:space="0"/>
              <w:left w:val="nil"/>
              <w:bottom w:val="single" w:color="auto" w:sz="4" w:space="0"/>
              <w:right w:val="single" w:color="auto" w:sz="4" w:space="0"/>
            </w:tcBorders>
            <w:shd w:val="clear" w:color="auto" w:fill="auto"/>
            <w:noWrap w:val="0"/>
            <w:vAlign w:val="center"/>
          </w:tcPr>
          <w:p w14:paraId="530C688A">
            <w:pPr>
              <w:spacing w:line="36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市妇儿中心制定了《主要职责、内设机构和岗位设置方案》部门组织管理良好，制度建设基本完善、职能配置合理，该项指标得满分。</w:t>
            </w:r>
          </w:p>
        </w:tc>
      </w:tr>
      <w:tr w14:paraId="1AD19215">
        <w:tblPrEx>
          <w:tblCellMar>
            <w:top w:w="0" w:type="dxa"/>
            <w:left w:w="108" w:type="dxa"/>
            <w:bottom w:w="0" w:type="dxa"/>
            <w:right w:w="108" w:type="dxa"/>
          </w:tblCellMar>
        </w:tblPrEx>
        <w:trPr>
          <w:trHeight w:val="480" w:hRule="atLeast"/>
          <w:jc w:val="center"/>
        </w:trPr>
        <w:tc>
          <w:tcPr>
            <w:tcW w:w="1181"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3B68E141">
            <w:pPr>
              <w:spacing w:line="360" w:lineRule="exact"/>
              <w:jc w:val="center"/>
              <w:rPr>
                <w:rFonts w:hint="eastAsia" w:ascii="方正仿宋简体" w:hAnsi="方正仿宋简体" w:eastAsia="方正仿宋简体" w:cs="方正仿宋简体"/>
                <w:color w:val="auto"/>
                <w:kern w:val="0"/>
                <w:sz w:val="24"/>
                <w:szCs w:val="24"/>
                <w:highlight w:val="none"/>
              </w:rPr>
            </w:pPr>
          </w:p>
        </w:tc>
        <w:tc>
          <w:tcPr>
            <w:tcW w:w="1216" w:type="dxa"/>
            <w:vMerge w:val="continue"/>
            <w:tcBorders>
              <w:left w:val="single" w:color="auto" w:sz="4" w:space="0"/>
              <w:right w:val="single" w:color="auto" w:sz="4" w:space="0"/>
            </w:tcBorders>
            <w:shd w:val="clear" w:color="auto" w:fill="auto"/>
            <w:noWrap w:val="0"/>
            <w:vAlign w:val="center"/>
          </w:tcPr>
          <w:p w14:paraId="44DAB42A">
            <w:pPr>
              <w:spacing w:line="360" w:lineRule="exact"/>
              <w:jc w:val="left"/>
              <w:rPr>
                <w:rFonts w:hint="eastAsia" w:ascii="方正仿宋简体" w:hAnsi="方正仿宋简体" w:eastAsia="方正仿宋简体" w:cs="方正仿宋简体"/>
                <w:color w:val="auto"/>
                <w:kern w:val="0"/>
                <w:sz w:val="24"/>
                <w:szCs w:val="24"/>
                <w:highlight w:val="none"/>
              </w:rPr>
            </w:pPr>
          </w:p>
        </w:tc>
        <w:tc>
          <w:tcPr>
            <w:tcW w:w="14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CFAE20C">
            <w:pPr>
              <w:spacing w:line="36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B62工作开展情况</w:t>
            </w:r>
          </w:p>
        </w:tc>
        <w:tc>
          <w:tcPr>
            <w:tcW w:w="655" w:type="dxa"/>
            <w:tcBorders>
              <w:top w:val="single" w:color="auto" w:sz="4" w:space="0"/>
              <w:left w:val="nil"/>
              <w:bottom w:val="single" w:color="auto" w:sz="4" w:space="0"/>
              <w:right w:val="single" w:color="auto" w:sz="4" w:space="0"/>
            </w:tcBorders>
            <w:shd w:val="clear" w:color="auto" w:fill="auto"/>
            <w:noWrap w:val="0"/>
            <w:vAlign w:val="center"/>
          </w:tcPr>
          <w:p w14:paraId="38BA0267">
            <w:pPr>
              <w:spacing w:line="360" w:lineRule="exact"/>
              <w:jc w:val="center"/>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2</w:t>
            </w:r>
          </w:p>
        </w:tc>
        <w:tc>
          <w:tcPr>
            <w:tcW w:w="1112" w:type="dxa"/>
            <w:tcBorders>
              <w:top w:val="single" w:color="auto" w:sz="4" w:space="0"/>
              <w:left w:val="nil"/>
              <w:bottom w:val="single" w:color="auto" w:sz="4" w:space="0"/>
              <w:right w:val="single" w:color="auto" w:sz="4" w:space="0"/>
            </w:tcBorders>
            <w:shd w:val="clear" w:color="auto" w:fill="auto"/>
            <w:noWrap w:val="0"/>
            <w:vAlign w:val="center"/>
          </w:tcPr>
          <w:p w14:paraId="57B86763">
            <w:pPr>
              <w:spacing w:line="360" w:lineRule="exact"/>
              <w:jc w:val="center"/>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良好</w:t>
            </w:r>
          </w:p>
        </w:tc>
        <w:tc>
          <w:tcPr>
            <w:tcW w:w="2589" w:type="dxa"/>
            <w:tcBorders>
              <w:top w:val="single" w:color="auto" w:sz="4" w:space="0"/>
              <w:left w:val="nil"/>
              <w:bottom w:val="single" w:color="auto" w:sz="4" w:space="0"/>
              <w:right w:val="single" w:color="auto" w:sz="4" w:space="0"/>
            </w:tcBorders>
            <w:shd w:val="clear" w:color="auto" w:fill="auto"/>
            <w:noWrap w:val="0"/>
            <w:vAlign w:val="center"/>
          </w:tcPr>
          <w:p w14:paraId="1326B622">
            <w:pPr>
              <w:spacing w:line="30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包含事前评估、目标管理、跟踪评价、自评价和整改落实，考察政策（项目）是否有5个报告</w:t>
            </w:r>
          </w:p>
        </w:tc>
        <w:tc>
          <w:tcPr>
            <w:tcW w:w="2160" w:type="dxa"/>
            <w:tcBorders>
              <w:top w:val="single" w:color="auto" w:sz="4" w:space="0"/>
              <w:left w:val="nil"/>
              <w:bottom w:val="single" w:color="auto" w:sz="4" w:space="0"/>
              <w:right w:val="single" w:color="auto" w:sz="4" w:space="0"/>
            </w:tcBorders>
            <w:shd w:val="clear" w:color="auto" w:fill="auto"/>
            <w:noWrap w:val="0"/>
            <w:vAlign w:val="center"/>
          </w:tcPr>
          <w:p w14:paraId="149A6193">
            <w:pPr>
              <w:spacing w:line="30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项目有事前评估、目标管理、跟踪评价、自评价和整改落实得满分。有一项得0.4分。</w:t>
            </w:r>
          </w:p>
        </w:tc>
        <w:tc>
          <w:tcPr>
            <w:tcW w:w="900" w:type="dxa"/>
            <w:tcBorders>
              <w:top w:val="single" w:color="auto" w:sz="4" w:space="0"/>
              <w:left w:val="nil"/>
              <w:bottom w:val="single" w:color="auto" w:sz="4" w:space="0"/>
              <w:right w:val="single" w:color="auto" w:sz="4" w:space="0"/>
            </w:tcBorders>
            <w:shd w:val="clear" w:color="auto" w:fill="auto"/>
            <w:noWrap w:val="0"/>
            <w:vAlign w:val="center"/>
          </w:tcPr>
          <w:p w14:paraId="3DB7DB47">
            <w:pPr>
              <w:spacing w:line="360" w:lineRule="exact"/>
              <w:jc w:val="center"/>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2</w:t>
            </w:r>
          </w:p>
        </w:tc>
        <w:tc>
          <w:tcPr>
            <w:tcW w:w="3741" w:type="dxa"/>
            <w:gridSpan w:val="2"/>
            <w:tcBorders>
              <w:top w:val="single" w:color="auto" w:sz="4" w:space="0"/>
              <w:left w:val="nil"/>
              <w:bottom w:val="single" w:color="auto" w:sz="4" w:space="0"/>
              <w:right w:val="single" w:color="auto" w:sz="4" w:space="0"/>
            </w:tcBorders>
            <w:shd w:val="clear" w:color="auto" w:fill="auto"/>
            <w:noWrap w:val="0"/>
            <w:vAlign w:val="center"/>
          </w:tcPr>
          <w:p w14:paraId="50D993EF">
            <w:pPr>
              <w:spacing w:line="32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市妇儿中心</w:t>
            </w:r>
            <w:r>
              <w:rPr>
                <w:rFonts w:hint="eastAsia" w:ascii="方正仿宋简体" w:hAnsi="方正仿宋简体" w:eastAsia="方正仿宋简体" w:cs="方正仿宋简体"/>
                <w:color w:val="auto"/>
                <w:kern w:val="0"/>
                <w:sz w:val="24"/>
                <w:szCs w:val="24"/>
                <w:highlight w:val="none"/>
                <w:lang w:eastAsia="zh-CN"/>
              </w:rPr>
              <w:t>2025</w:t>
            </w:r>
            <w:r>
              <w:rPr>
                <w:rFonts w:hint="eastAsia" w:ascii="方正仿宋简体" w:hAnsi="方正仿宋简体" w:eastAsia="方正仿宋简体" w:cs="方正仿宋简体"/>
                <w:color w:val="auto"/>
                <w:kern w:val="0"/>
                <w:sz w:val="24"/>
                <w:szCs w:val="24"/>
                <w:highlight w:val="none"/>
              </w:rPr>
              <w:t>年无新增专项资金项目，事前评估，目标管理、跟踪评价、自评价等均按财政相关要求严格执行，无扣分情况，该项指标得满分。</w:t>
            </w:r>
          </w:p>
        </w:tc>
      </w:tr>
      <w:tr w14:paraId="2A3CAF03">
        <w:tblPrEx>
          <w:shd w:val="clear" w:color="auto" w:fill="auto"/>
          <w:tblCellMar>
            <w:top w:w="0" w:type="dxa"/>
            <w:left w:w="108" w:type="dxa"/>
            <w:bottom w:w="0" w:type="dxa"/>
            <w:right w:w="108" w:type="dxa"/>
          </w:tblCellMar>
        </w:tblPrEx>
        <w:trPr>
          <w:trHeight w:val="90" w:hRule="atLeast"/>
          <w:jc w:val="center"/>
        </w:trPr>
        <w:tc>
          <w:tcPr>
            <w:tcW w:w="1181"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228D6F3E">
            <w:pPr>
              <w:spacing w:line="360" w:lineRule="exact"/>
              <w:jc w:val="left"/>
              <w:rPr>
                <w:rFonts w:hint="eastAsia" w:ascii="方正仿宋简体" w:hAnsi="方正仿宋简体" w:eastAsia="方正仿宋简体" w:cs="方正仿宋简体"/>
                <w:color w:val="auto"/>
                <w:kern w:val="0"/>
                <w:sz w:val="24"/>
                <w:szCs w:val="24"/>
                <w:highlight w:val="none"/>
              </w:rPr>
            </w:pPr>
          </w:p>
        </w:tc>
        <w:tc>
          <w:tcPr>
            <w:tcW w:w="1216" w:type="dxa"/>
            <w:vMerge w:val="continue"/>
            <w:tcBorders>
              <w:left w:val="single" w:color="auto" w:sz="4" w:space="0"/>
              <w:bottom w:val="single" w:color="auto" w:sz="4" w:space="0"/>
              <w:right w:val="single" w:color="auto" w:sz="4" w:space="0"/>
            </w:tcBorders>
            <w:shd w:val="clear" w:color="auto" w:fill="auto"/>
            <w:noWrap w:val="0"/>
            <w:vAlign w:val="center"/>
          </w:tcPr>
          <w:p w14:paraId="60292215">
            <w:pPr>
              <w:spacing w:line="360" w:lineRule="exact"/>
              <w:jc w:val="left"/>
              <w:rPr>
                <w:rFonts w:hint="eastAsia" w:ascii="方正仿宋简体" w:hAnsi="方正仿宋简体" w:eastAsia="方正仿宋简体" w:cs="方正仿宋简体"/>
                <w:color w:val="auto"/>
                <w:kern w:val="0"/>
                <w:sz w:val="24"/>
                <w:szCs w:val="24"/>
                <w:highlight w:val="none"/>
              </w:rPr>
            </w:pPr>
          </w:p>
        </w:tc>
        <w:tc>
          <w:tcPr>
            <w:tcW w:w="14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D4A889C">
            <w:pPr>
              <w:spacing w:line="36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B63绩效信息公开</w:t>
            </w:r>
          </w:p>
        </w:tc>
        <w:tc>
          <w:tcPr>
            <w:tcW w:w="655" w:type="dxa"/>
            <w:tcBorders>
              <w:top w:val="single" w:color="auto" w:sz="4" w:space="0"/>
              <w:left w:val="nil"/>
              <w:bottom w:val="single" w:color="auto" w:sz="4" w:space="0"/>
              <w:right w:val="single" w:color="auto" w:sz="4" w:space="0"/>
            </w:tcBorders>
            <w:shd w:val="clear" w:color="auto" w:fill="auto"/>
            <w:noWrap w:val="0"/>
            <w:vAlign w:val="center"/>
          </w:tcPr>
          <w:p w14:paraId="7B00AE7B">
            <w:pPr>
              <w:spacing w:line="360" w:lineRule="exact"/>
              <w:jc w:val="center"/>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1</w:t>
            </w:r>
          </w:p>
        </w:tc>
        <w:tc>
          <w:tcPr>
            <w:tcW w:w="1112" w:type="dxa"/>
            <w:tcBorders>
              <w:top w:val="single" w:color="auto" w:sz="4" w:space="0"/>
              <w:left w:val="nil"/>
              <w:bottom w:val="single" w:color="auto" w:sz="4" w:space="0"/>
              <w:right w:val="single" w:color="auto" w:sz="4" w:space="0"/>
            </w:tcBorders>
            <w:shd w:val="clear" w:color="auto" w:fill="auto"/>
            <w:noWrap w:val="0"/>
            <w:vAlign w:val="center"/>
          </w:tcPr>
          <w:p w14:paraId="4BF0C9F0">
            <w:pPr>
              <w:spacing w:line="360" w:lineRule="exact"/>
              <w:jc w:val="center"/>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公开</w:t>
            </w:r>
          </w:p>
        </w:tc>
        <w:tc>
          <w:tcPr>
            <w:tcW w:w="2589" w:type="dxa"/>
            <w:tcBorders>
              <w:top w:val="single" w:color="auto" w:sz="4" w:space="0"/>
              <w:left w:val="nil"/>
              <w:bottom w:val="single" w:color="auto" w:sz="4" w:space="0"/>
              <w:right w:val="single" w:color="auto" w:sz="4" w:space="0"/>
            </w:tcBorders>
            <w:shd w:val="clear" w:color="auto" w:fill="auto"/>
            <w:noWrap w:val="0"/>
            <w:vAlign w:val="center"/>
          </w:tcPr>
          <w:p w14:paraId="408D70FF">
            <w:pPr>
              <w:spacing w:line="30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绩效信息是否按照规定的内容和时限在“双平台”进行公开</w:t>
            </w:r>
          </w:p>
        </w:tc>
        <w:tc>
          <w:tcPr>
            <w:tcW w:w="2160" w:type="dxa"/>
            <w:tcBorders>
              <w:top w:val="single" w:color="auto" w:sz="4" w:space="0"/>
              <w:left w:val="nil"/>
              <w:bottom w:val="single" w:color="auto" w:sz="4" w:space="0"/>
              <w:right w:val="single" w:color="auto" w:sz="4" w:space="0"/>
            </w:tcBorders>
            <w:shd w:val="clear" w:color="auto" w:fill="auto"/>
            <w:noWrap w:val="0"/>
            <w:vAlign w:val="center"/>
          </w:tcPr>
          <w:p w14:paraId="3EA359CF">
            <w:pPr>
              <w:spacing w:line="30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绩效信息在双平台进行及时有效</w:t>
            </w:r>
            <w:r>
              <w:rPr>
                <w:rFonts w:hint="eastAsia" w:ascii="方正仿宋简体" w:hAnsi="方正仿宋简体" w:eastAsia="方正仿宋简体" w:cs="方正仿宋简体"/>
                <w:color w:val="auto"/>
                <w:kern w:val="0"/>
                <w:sz w:val="24"/>
                <w:szCs w:val="24"/>
                <w:highlight w:val="none"/>
                <w:lang w:eastAsia="zh-CN"/>
              </w:rPr>
              <w:t>地</w:t>
            </w:r>
            <w:r>
              <w:rPr>
                <w:rFonts w:hint="eastAsia" w:ascii="方正仿宋简体" w:hAnsi="方正仿宋简体" w:eastAsia="方正仿宋简体" w:cs="方正仿宋简体"/>
                <w:color w:val="auto"/>
                <w:kern w:val="0"/>
                <w:sz w:val="24"/>
                <w:szCs w:val="24"/>
                <w:highlight w:val="none"/>
              </w:rPr>
              <w:t>公开得满分，否则不得分。</w:t>
            </w:r>
          </w:p>
        </w:tc>
        <w:tc>
          <w:tcPr>
            <w:tcW w:w="900" w:type="dxa"/>
            <w:tcBorders>
              <w:top w:val="single" w:color="auto" w:sz="4" w:space="0"/>
              <w:left w:val="nil"/>
              <w:bottom w:val="single" w:color="auto" w:sz="4" w:space="0"/>
              <w:right w:val="single" w:color="auto" w:sz="4" w:space="0"/>
            </w:tcBorders>
            <w:shd w:val="clear" w:color="auto" w:fill="auto"/>
            <w:noWrap w:val="0"/>
            <w:vAlign w:val="center"/>
          </w:tcPr>
          <w:p w14:paraId="59DBE2D1">
            <w:pPr>
              <w:spacing w:line="360" w:lineRule="exact"/>
              <w:jc w:val="center"/>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1</w:t>
            </w:r>
          </w:p>
        </w:tc>
        <w:tc>
          <w:tcPr>
            <w:tcW w:w="3741" w:type="dxa"/>
            <w:gridSpan w:val="2"/>
            <w:tcBorders>
              <w:top w:val="single" w:color="auto" w:sz="4" w:space="0"/>
              <w:left w:val="nil"/>
              <w:bottom w:val="single" w:color="auto" w:sz="4" w:space="0"/>
              <w:right w:val="single" w:color="auto" w:sz="4" w:space="0"/>
            </w:tcBorders>
            <w:shd w:val="clear" w:color="auto" w:fill="auto"/>
            <w:noWrap w:val="0"/>
            <w:vAlign w:val="center"/>
          </w:tcPr>
          <w:p w14:paraId="1B550768">
            <w:pPr>
              <w:spacing w:line="36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绩效信息在双平台进行及时有效</w:t>
            </w:r>
            <w:r>
              <w:rPr>
                <w:rFonts w:hint="eastAsia" w:ascii="方正仿宋简体" w:hAnsi="方正仿宋简体" w:eastAsia="方正仿宋简体" w:cs="方正仿宋简体"/>
                <w:color w:val="auto"/>
                <w:kern w:val="0"/>
                <w:sz w:val="24"/>
                <w:szCs w:val="24"/>
                <w:highlight w:val="none"/>
                <w:lang w:eastAsia="zh-CN"/>
              </w:rPr>
              <w:t>地</w:t>
            </w:r>
            <w:r>
              <w:rPr>
                <w:rFonts w:hint="eastAsia" w:ascii="方正仿宋简体" w:hAnsi="方正仿宋简体" w:eastAsia="方正仿宋简体" w:cs="方正仿宋简体"/>
                <w:color w:val="auto"/>
                <w:kern w:val="0"/>
                <w:sz w:val="24"/>
                <w:szCs w:val="24"/>
                <w:highlight w:val="none"/>
              </w:rPr>
              <w:t>公开。</w:t>
            </w:r>
          </w:p>
        </w:tc>
      </w:tr>
      <w:tr w14:paraId="60BB850F">
        <w:tblPrEx>
          <w:shd w:val="clear" w:color="auto" w:fill="auto"/>
          <w:tblCellMar>
            <w:top w:w="0" w:type="dxa"/>
            <w:left w:w="108" w:type="dxa"/>
            <w:bottom w:w="0" w:type="dxa"/>
            <w:right w:w="108" w:type="dxa"/>
          </w:tblCellMar>
        </w:tblPrEx>
        <w:trPr>
          <w:trHeight w:val="4065" w:hRule="atLeast"/>
          <w:jc w:val="center"/>
        </w:trPr>
        <w:tc>
          <w:tcPr>
            <w:tcW w:w="1181" w:type="dxa"/>
            <w:tcBorders>
              <w:top w:val="single" w:color="auto" w:sz="4" w:space="0"/>
              <w:left w:val="single" w:color="auto" w:sz="4" w:space="0"/>
              <w:right w:val="single" w:color="auto" w:sz="4" w:space="0"/>
            </w:tcBorders>
            <w:shd w:val="clear" w:color="auto" w:fill="auto"/>
            <w:noWrap w:val="0"/>
            <w:vAlign w:val="center"/>
          </w:tcPr>
          <w:p w14:paraId="6F0A1D65">
            <w:pPr>
              <w:spacing w:line="360" w:lineRule="exact"/>
              <w:jc w:val="center"/>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C部门履职（40分）</w:t>
            </w:r>
          </w:p>
        </w:tc>
        <w:tc>
          <w:tcPr>
            <w:tcW w:w="1216"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6033DE2C">
            <w:pPr>
              <w:pStyle w:val="31"/>
              <w:spacing w:before="58" w:line="219" w:lineRule="auto"/>
              <w:rPr>
                <w:rFonts w:hint="eastAsia" w:ascii="方正仿宋简体" w:hAnsi="方正仿宋简体" w:eastAsia="方正仿宋简体" w:cs="方正仿宋简体"/>
                <w:color w:val="auto"/>
                <w:kern w:val="0"/>
                <w:sz w:val="24"/>
                <w:szCs w:val="24"/>
                <w:highlight w:val="none"/>
                <w:lang w:eastAsia="zh-CN"/>
              </w:rPr>
            </w:pPr>
            <w:r>
              <w:rPr>
                <w:rFonts w:hint="eastAsia" w:ascii="方正仿宋简体" w:hAnsi="方正仿宋简体" w:eastAsia="方正仿宋简体" w:cs="方正仿宋简体"/>
                <w:color w:val="auto"/>
                <w:kern w:val="0"/>
                <w:sz w:val="24"/>
                <w:szCs w:val="24"/>
                <w:highlight w:val="none"/>
                <w:lang w:eastAsia="zh-CN"/>
              </w:rPr>
              <w:t>C1落实“立德树人”根本任务，继续聚焦核心素养，完善教育培训课程体系，以高品质教学成果为导向，提供儿童素质教育服务。（</w:t>
            </w:r>
            <w:r>
              <w:rPr>
                <w:rFonts w:hint="eastAsia" w:ascii="方正仿宋简体" w:hAnsi="方正仿宋简体" w:eastAsia="方正仿宋简体" w:cs="方正仿宋简体"/>
                <w:color w:val="auto"/>
                <w:kern w:val="0"/>
                <w:sz w:val="24"/>
                <w:szCs w:val="24"/>
                <w:highlight w:val="none"/>
                <w:lang w:val="en-US" w:eastAsia="zh-CN"/>
              </w:rPr>
              <w:t>16</w:t>
            </w:r>
            <w:r>
              <w:rPr>
                <w:rFonts w:hint="eastAsia" w:ascii="方正仿宋简体" w:hAnsi="方正仿宋简体" w:eastAsia="方正仿宋简体" w:cs="方正仿宋简体"/>
                <w:color w:val="auto"/>
                <w:kern w:val="0"/>
                <w:sz w:val="24"/>
                <w:szCs w:val="24"/>
                <w:highlight w:val="none"/>
                <w:lang w:eastAsia="zh-CN"/>
              </w:rPr>
              <w:t>分）</w:t>
            </w:r>
          </w:p>
        </w:tc>
        <w:tc>
          <w:tcPr>
            <w:tcW w:w="14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4B08165">
            <w:pPr>
              <w:spacing w:line="36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C11完善科技、艺术、体育等多种类培训课程体系，实现专业化发展，为少年儿童提供全面综合的培训服务</w:t>
            </w:r>
          </w:p>
        </w:tc>
        <w:tc>
          <w:tcPr>
            <w:tcW w:w="65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CFCB9D6">
            <w:pPr>
              <w:spacing w:line="360" w:lineRule="exact"/>
              <w:jc w:val="center"/>
              <w:rPr>
                <w:rFonts w:hint="default" w:ascii="方正仿宋简体" w:hAnsi="方正仿宋简体" w:eastAsia="方正仿宋简体" w:cs="方正仿宋简体"/>
                <w:color w:val="auto"/>
                <w:kern w:val="0"/>
                <w:sz w:val="24"/>
                <w:szCs w:val="24"/>
                <w:highlight w:val="none"/>
                <w:lang w:val="en-US" w:eastAsia="zh-CN"/>
              </w:rPr>
            </w:pPr>
            <w:r>
              <w:rPr>
                <w:rFonts w:hint="eastAsia" w:ascii="方正仿宋简体" w:hAnsi="方正仿宋简体" w:eastAsia="方正仿宋简体" w:cs="方正仿宋简体"/>
                <w:color w:val="auto"/>
                <w:kern w:val="0"/>
                <w:sz w:val="24"/>
                <w:szCs w:val="24"/>
                <w:highlight w:val="none"/>
                <w:lang w:val="en-US" w:eastAsia="zh-CN"/>
              </w:rPr>
              <w:t>9</w:t>
            </w:r>
          </w:p>
        </w:tc>
        <w:tc>
          <w:tcPr>
            <w:tcW w:w="111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B82B6D9">
            <w:pPr>
              <w:spacing w:line="360" w:lineRule="exact"/>
              <w:jc w:val="center"/>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w:t>
            </w:r>
            <w:r>
              <w:rPr>
                <w:rFonts w:hint="eastAsia" w:ascii="方正仿宋简体" w:hAnsi="方正仿宋简体" w:eastAsia="方正仿宋简体" w:cs="方正仿宋简体"/>
                <w:color w:val="auto"/>
                <w:kern w:val="0"/>
                <w:sz w:val="24"/>
                <w:szCs w:val="24"/>
                <w:highlight w:val="none"/>
                <w:lang w:val="en-US" w:eastAsia="zh-CN"/>
              </w:rPr>
              <w:t>6000</w:t>
            </w:r>
            <w:r>
              <w:rPr>
                <w:rFonts w:hint="eastAsia" w:ascii="方正仿宋简体" w:hAnsi="方正仿宋简体" w:eastAsia="方正仿宋简体" w:cs="方正仿宋简体"/>
                <w:color w:val="auto"/>
                <w:kern w:val="0"/>
                <w:sz w:val="24"/>
                <w:szCs w:val="24"/>
                <w:highlight w:val="none"/>
              </w:rPr>
              <w:t>人次</w:t>
            </w:r>
          </w:p>
        </w:tc>
        <w:tc>
          <w:tcPr>
            <w:tcW w:w="258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B907ADA">
            <w:pPr>
              <w:spacing w:line="36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spacing w:val="7"/>
                <w:sz w:val="24"/>
                <w:szCs w:val="24"/>
                <w:highlight w:val="none"/>
              </w:rPr>
              <w:t>主要考核中心开设的各类艺术、科技、体育等课程，是否满足学员多样化的学习需求及参与服务情况</w:t>
            </w:r>
          </w:p>
          <w:p w14:paraId="2384734C">
            <w:pPr>
              <w:spacing w:line="360" w:lineRule="exact"/>
              <w:jc w:val="left"/>
              <w:rPr>
                <w:rFonts w:hint="eastAsia" w:ascii="方正仿宋简体" w:hAnsi="方正仿宋简体" w:eastAsia="方正仿宋简体" w:cs="方正仿宋简体"/>
                <w:color w:val="auto"/>
                <w:kern w:val="0"/>
                <w:sz w:val="24"/>
                <w:szCs w:val="24"/>
                <w:highlight w:val="none"/>
              </w:rPr>
            </w:pPr>
          </w:p>
        </w:tc>
        <w:tc>
          <w:tcPr>
            <w:tcW w:w="21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F31F508">
            <w:pPr>
              <w:pStyle w:val="31"/>
              <w:spacing w:line="400" w:lineRule="exac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全年参与培训人次</w:t>
            </w:r>
            <w:r>
              <w:rPr>
                <w:rFonts w:hint="eastAsia" w:ascii="方正仿宋简体" w:hAnsi="方正仿宋简体" w:eastAsia="方正仿宋简体" w:cs="方正仿宋简体"/>
                <w:color w:val="auto"/>
                <w:kern w:val="0"/>
                <w:sz w:val="24"/>
                <w:szCs w:val="24"/>
                <w:highlight w:val="none"/>
                <w:lang w:val="en-US" w:eastAsia="zh-CN"/>
              </w:rPr>
              <w:t>6</w:t>
            </w:r>
            <w:r>
              <w:rPr>
                <w:rFonts w:hint="eastAsia" w:ascii="方正仿宋简体" w:hAnsi="方正仿宋简体" w:eastAsia="方正仿宋简体" w:cs="方正仿宋简体"/>
                <w:color w:val="auto"/>
                <w:kern w:val="0"/>
                <w:sz w:val="24"/>
                <w:szCs w:val="24"/>
                <w:highlight w:val="none"/>
              </w:rPr>
              <w:t>000人以上得</w:t>
            </w:r>
            <w:r>
              <w:rPr>
                <w:rFonts w:hint="eastAsia" w:ascii="方正仿宋简体" w:hAnsi="方正仿宋简体" w:eastAsia="方正仿宋简体" w:cs="方正仿宋简体"/>
                <w:color w:val="auto"/>
                <w:kern w:val="0"/>
                <w:sz w:val="24"/>
                <w:szCs w:val="24"/>
                <w:highlight w:val="none"/>
                <w:lang w:val="en-US" w:eastAsia="zh-CN"/>
              </w:rPr>
              <w:t>9</w:t>
            </w:r>
            <w:r>
              <w:rPr>
                <w:rFonts w:hint="eastAsia" w:ascii="方正仿宋简体" w:hAnsi="方正仿宋简体" w:eastAsia="方正仿宋简体" w:cs="方正仿宋简体"/>
                <w:color w:val="auto"/>
                <w:kern w:val="0"/>
                <w:sz w:val="24"/>
                <w:szCs w:val="24"/>
                <w:highlight w:val="none"/>
              </w:rPr>
              <w:t>分；低于</w:t>
            </w:r>
            <w:r>
              <w:rPr>
                <w:rFonts w:hint="eastAsia" w:ascii="方正仿宋简体" w:hAnsi="方正仿宋简体" w:eastAsia="方正仿宋简体" w:cs="方正仿宋简体"/>
                <w:color w:val="auto"/>
                <w:kern w:val="0"/>
                <w:sz w:val="24"/>
                <w:szCs w:val="24"/>
                <w:highlight w:val="none"/>
                <w:lang w:val="en-US" w:eastAsia="zh-CN"/>
              </w:rPr>
              <w:t>6</w:t>
            </w:r>
            <w:r>
              <w:rPr>
                <w:rFonts w:hint="eastAsia" w:ascii="方正仿宋简体" w:hAnsi="方正仿宋简体" w:eastAsia="方正仿宋简体" w:cs="方正仿宋简体"/>
                <w:color w:val="auto"/>
                <w:kern w:val="0"/>
                <w:sz w:val="24"/>
                <w:szCs w:val="24"/>
                <w:highlight w:val="none"/>
              </w:rPr>
              <w:t>000人大于</w:t>
            </w:r>
            <w:r>
              <w:rPr>
                <w:rFonts w:hint="eastAsia" w:ascii="方正仿宋简体" w:hAnsi="方正仿宋简体" w:eastAsia="方正仿宋简体" w:cs="方正仿宋简体"/>
                <w:color w:val="auto"/>
                <w:kern w:val="0"/>
                <w:sz w:val="24"/>
                <w:szCs w:val="24"/>
                <w:highlight w:val="none"/>
                <w:lang w:val="en-US" w:eastAsia="zh-CN"/>
              </w:rPr>
              <w:t>5</w:t>
            </w:r>
            <w:r>
              <w:rPr>
                <w:rFonts w:hint="eastAsia" w:ascii="方正仿宋简体" w:hAnsi="方正仿宋简体" w:eastAsia="方正仿宋简体" w:cs="方正仿宋简体"/>
                <w:color w:val="auto"/>
                <w:kern w:val="0"/>
                <w:sz w:val="24"/>
                <w:szCs w:val="24"/>
                <w:highlight w:val="none"/>
              </w:rPr>
              <w:t>000人扣</w:t>
            </w:r>
            <w:r>
              <w:rPr>
                <w:rFonts w:hint="eastAsia" w:ascii="方正仿宋简体" w:hAnsi="方正仿宋简体" w:eastAsia="方正仿宋简体" w:cs="方正仿宋简体"/>
                <w:color w:val="auto"/>
                <w:kern w:val="0"/>
                <w:sz w:val="24"/>
                <w:szCs w:val="24"/>
                <w:highlight w:val="none"/>
                <w:lang w:val="en-US" w:eastAsia="zh-CN"/>
              </w:rPr>
              <w:t>3</w:t>
            </w:r>
            <w:r>
              <w:rPr>
                <w:rFonts w:hint="eastAsia" w:ascii="方正仿宋简体" w:hAnsi="方正仿宋简体" w:eastAsia="方正仿宋简体" w:cs="方正仿宋简体"/>
                <w:color w:val="auto"/>
                <w:kern w:val="0"/>
                <w:sz w:val="24"/>
                <w:szCs w:val="24"/>
                <w:highlight w:val="none"/>
              </w:rPr>
              <w:t>分；低于</w:t>
            </w:r>
            <w:r>
              <w:rPr>
                <w:rFonts w:hint="eastAsia" w:ascii="方正仿宋简体" w:hAnsi="方正仿宋简体" w:eastAsia="方正仿宋简体" w:cs="方正仿宋简体"/>
                <w:color w:val="auto"/>
                <w:kern w:val="0"/>
                <w:sz w:val="24"/>
                <w:szCs w:val="24"/>
                <w:highlight w:val="none"/>
                <w:lang w:val="en-US" w:eastAsia="zh-CN"/>
              </w:rPr>
              <w:t>5</w:t>
            </w:r>
            <w:r>
              <w:rPr>
                <w:rFonts w:hint="eastAsia" w:ascii="方正仿宋简体" w:hAnsi="方正仿宋简体" w:eastAsia="方正仿宋简体" w:cs="方正仿宋简体"/>
                <w:color w:val="auto"/>
                <w:kern w:val="0"/>
                <w:sz w:val="24"/>
                <w:szCs w:val="24"/>
                <w:highlight w:val="none"/>
              </w:rPr>
              <w:t>000人大于3000人扣</w:t>
            </w:r>
            <w:r>
              <w:rPr>
                <w:rFonts w:hint="eastAsia" w:ascii="方正仿宋简体" w:hAnsi="方正仿宋简体" w:eastAsia="方正仿宋简体" w:cs="方正仿宋简体"/>
                <w:color w:val="auto"/>
                <w:kern w:val="0"/>
                <w:sz w:val="24"/>
                <w:szCs w:val="24"/>
                <w:highlight w:val="none"/>
                <w:lang w:val="en-US" w:eastAsia="zh-CN"/>
              </w:rPr>
              <w:t>6</w:t>
            </w:r>
            <w:r>
              <w:rPr>
                <w:rFonts w:hint="eastAsia" w:ascii="方正仿宋简体" w:hAnsi="方正仿宋简体" w:eastAsia="方正仿宋简体" w:cs="方正仿宋简体"/>
                <w:color w:val="auto"/>
                <w:kern w:val="0"/>
                <w:sz w:val="24"/>
                <w:szCs w:val="24"/>
                <w:highlight w:val="none"/>
              </w:rPr>
              <w:t>分；低于3000人不得分</w:t>
            </w:r>
            <w:r>
              <w:rPr>
                <w:rFonts w:hint="eastAsia" w:ascii="方正仿宋简体" w:hAnsi="方正仿宋简体" w:eastAsia="方正仿宋简体" w:cs="方正仿宋简体"/>
                <w:color w:val="auto"/>
                <w:kern w:val="0"/>
                <w:sz w:val="24"/>
                <w:szCs w:val="24"/>
                <w:highlight w:val="none"/>
                <w:lang w:eastAsia="zh-CN"/>
              </w:rPr>
              <w:t>。</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28987AB">
            <w:pPr>
              <w:pStyle w:val="31"/>
              <w:spacing w:line="400" w:lineRule="exact"/>
              <w:jc w:val="center"/>
              <w:rPr>
                <w:rFonts w:hint="default" w:ascii="方正仿宋简体" w:hAnsi="方正仿宋简体" w:eastAsia="方正仿宋简体" w:cs="方正仿宋简体"/>
                <w:color w:val="auto"/>
                <w:kern w:val="0"/>
                <w:sz w:val="24"/>
                <w:szCs w:val="24"/>
                <w:highlight w:val="none"/>
                <w:lang w:val="en-US"/>
              </w:rPr>
            </w:pPr>
            <w:r>
              <w:rPr>
                <w:rFonts w:hint="eastAsia" w:ascii="方正仿宋简体" w:hAnsi="方正仿宋简体" w:eastAsia="方正仿宋简体" w:cs="方正仿宋简体"/>
                <w:color w:val="auto"/>
                <w:kern w:val="0"/>
                <w:sz w:val="24"/>
                <w:szCs w:val="24"/>
                <w:highlight w:val="none"/>
                <w:lang w:val="en-US" w:eastAsia="zh-CN"/>
              </w:rPr>
              <w:t>9</w:t>
            </w:r>
          </w:p>
        </w:tc>
        <w:tc>
          <w:tcPr>
            <w:tcW w:w="374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7A527506">
            <w:pPr>
              <w:widowControl/>
              <w:spacing w:after="46"/>
              <w:ind w:right="102"/>
              <w:jc w:val="left"/>
              <w:rPr>
                <w:rFonts w:hint="eastAsia" w:ascii="方正仿宋简体" w:hAnsi="方正仿宋简体" w:eastAsia="方正仿宋简体" w:cs="方正仿宋简体"/>
                <w:color w:val="auto"/>
                <w:sz w:val="24"/>
                <w:szCs w:val="24"/>
                <w:highlight w:val="none"/>
              </w:rPr>
            </w:pPr>
            <w:r>
              <w:rPr>
                <w:rFonts w:hint="eastAsia" w:ascii="方正仿宋简体" w:hAnsi="方正仿宋简体" w:eastAsia="方正仿宋简体" w:cs="方正仿宋简体"/>
                <w:color w:val="auto"/>
                <w:sz w:val="24"/>
                <w:szCs w:val="24"/>
                <w:highlight w:val="none"/>
              </w:rPr>
              <w:t>202</w:t>
            </w:r>
            <w:r>
              <w:rPr>
                <w:rFonts w:hint="eastAsia" w:ascii="方正仿宋简体" w:hAnsi="方正仿宋简体" w:eastAsia="方正仿宋简体" w:cs="方正仿宋简体"/>
                <w:color w:val="auto"/>
                <w:sz w:val="24"/>
                <w:szCs w:val="24"/>
                <w:highlight w:val="none"/>
                <w:lang w:val="en-US" w:eastAsia="zh-CN"/>
              </w:rPr>
              <w:t>5</w:t>
            </w:r>
            <w:r>
              <w:rPr>
                <w:rFonts w:hint="eastAsia" w:ascii="方正仿宋简体" w:hAnsi="方正仿宋简体" w:eastAsia="方正仿宋简体" w:cs="方正仿宋简体"/>
                <w:color w:val="auto"/>
                <w:sz w:val="24"/>
                <w:szCs w:val="24"/>
                <w:highlight w:val="none"/>
              </w:rPr>
              <w:t>年，教学培训90</w:t>
            </w:r>
            <w:r>
              <w:rPr>
                <w:rFonts w:hint="eastAsia" w:ascii="方正仿宋简体" w:hAnsi="方正仿宋简体" w:eastAsia="方正仿宋简体" w:cs="方正仿宋简体"/>
                <w:color w:val="auto"/>
                <w:sz w:val="24"/>
                <w:szCs w:val="24"/>
                <w:highlight w:val="none"/>
                <w:lang w:val="en-US" w:eastAsia="zh-CN"/>
              </w:rPr>
              <w:t>49</w:t>
            </w:r>
            <w:r>
              <w:rPr>
                <w:rFonts w:hint="eastAsia" w:ascii="方正仿宋简体" w:hAnsi="方正仿宋简体" w:eastAsia="方正仿宋简体" w:cs="方正仿宋简体"/>
                <w:color w:val="auto"/>
                <w:sz w:val="24"/>
                <w:szCs w:val="24"/>
                <w:highlight w:val="none"/>
              </w:rPr>
              <w:t>人次，家长满意度95.</w:t>
            </w:r>
            <w:r>
              <w:rPr>
                <w:rFonts w:hint="eastAsia" w:ascii="方正仿宋简体" w:hAnsi="方正仿宋简体" w:eastAsia="方正仿宋简体" w:cs="方正仿宋简体"/>
                <w:color w:val="auto"/>
                <w:sz w:val="24"/>
                <w:szCs w:val="24"/>
                <w:highlight w:val="none"/>
                <w:lang w:val="en-US" w:eastAsia="zh-CN"/>
              </w:rPr>
              <w:t>44</w:t>
            </w:r>
            <w:r>
              <w:rPr>
                <w:rFonts w:hint="eastAsia" w:ascii="方正仿宋简体" w:hAnsi="方正仿宋简体" w:eastAsia="方正仿宋简体" w:cs="方正仿宋简体"/>
                <w:color w:val="auto"/>
                <w:sz w:val="24"/>
                <w:szCs w:val="24"/>
                <w:highlight w:val="none"/>
              </w:rPr>
              <w:t>%</w:t>
            </w:r>
            <w:r>
              <w:rPr>
                <w:rFonts w:hint="eastAsia" w:ascii="方正仿宋简体" w:hAnsi="方正仿宋简体" w:eastAsia="方正仿宋简体" w:cs="方正仿宋简体"/>
                <w:color w:val="auto"/>
                <w:spacing w:val="7"/>
                <w:sz w:val="24"/>
                <w:szCs w:val="24"/>
                <w:highlight w:val="none"/>
              </w:rPr>
              <w:t>。</w:t>
            </w:r>
          </w:p>
          <w:p w14:paraId="120A33E7">
            <w:pPr>
              <w:pStyle w:val="31"/>
              <w:spacing w:line="400" w:lineRule="exact"/>
              <w:rPr>
                <w:rFonts w:hint="eastAsia" w:ascii="方正仿宋简体" w:hAnsi="方正仿宋简体" w:eastAsia="方正仿宋简体" w:cs="方正仿宋简体"/>
                <w:color w:val="auto"/>
                <w:kern w:val="0"/>
                <w:sz w:val="24"/>
                <w:szCs w:val="24"/>
                <w:highlight w:val="none"/>
              </w:rPr>
            </w:pPr>
          </w:p>
        </w:tc>
      </w:tr>
      <w:tr w14:paraId="5A0A6AC0">
        <w:tblPrEx>
          <w:shd w:val="clear" w:color="auto" w:fill="auto"/>
          <w:tblCellMar>
            <w:top w:w="0" w:type="dxa"/>
            <w:left w:w="108" w:type="dxa"/>
            <w:bottom w:w="0" w:type="dxa"/>
            <w:right w:w="108" w:type="dxa"/>
          </w:tblCellMar>
        </w:tblPrEx>
        <w:trPr>
          <w:trHeight w:val="90" w:hRule="atLeast"/>
          <w:jc w:val="center"/>
        </w:trPr>
        <w:tc>
          <w:tcPr>
            <w:tcW w:w="1181" w:type="dxa"/>
            <w:vMerge w:val="restart"/>
            <w:tcBorders>
              <w:left w:val="single" w:color="auto" w:sz="4" w:space="0"/>
              <w:right w:val="single" w:color="auto" w:sz="4" w:space="0"/>
            </w:tcBorders>
            <w:shd w:val="clear" w:color="auto" w:fill="auto"/>
            <w:noWrap w:val="0"/>
            <w:vAlign w:val="center"/>
          </w:tcPr>
          <w:p w14:paraId="45CF14ED">
            <w:pPr>
              <w:spacing w:line="360" w:lineRule="exact"/>
              <w:jc w:val="center"/>
              <w:rPr>
                <w:rFonts w:hint="eastAsia" w:ascii="方正仿宋简体" w:hAnsi="方正仿宋简体" w:eastAsia="方正仿宋简体" w:cs="方正仿宋简体"/>
                <w:color w:val="auto"/>
                <w:kern w:val="0"/>
                <w:sz w:val="24"/>
                <w:szCs w:val="24"/>
                <w:highlight w:val="none"/>
              </w:rPr>
            </w:pPr>
          </w:p>
          <w:p w14:paraId="5C59A0A5">
            <w:pPr>
              <w:spacing w:line="360" w:lineRule="exact"/>
              <w:jc w:val="center"/>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C部门履职（40分）</w:t>
            </w:r>
          </w:p>
        </w:tc>
        <w:tc>
          <w:tcPr>
            <w:tcW w:w="12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1E242A3E">
            <w:pPr>
              <w:pStyle w:val="31"/>
              <w:spacing w:before="58" w:line="219" w:lineRule="auto"/>
              <w:rPr>
                <w:rFonts w:hint="eastAsia" w:ascii="方正仿宋简体" w:hAnsi="方正仿宋简体" w:eastAsia="方正仿宋简体" w:cs="方正仿宋简体"/>
                <w:color w:val="auto"/>
                <w:kern w:val="0"/>
                <w:sz w:val="24"/>
                <w:szCs w:val="24"/>
                <w:highlight w:val="none"/>
                <w:lang w:eastAsia="zh-CN"/>
              </w:rPr>
            </w:pPr>
          </w:p>
        </w:tc>
        <w:tc>
          <w:tcPr>
            <w:tcW w:w="14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99ABC49">
            <w:pPr>
              <w:spacing w:line="36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C12开展“公益课程进校园</w:t>
            </w:r>
            <w:r>
              <w:rPr>
                <w:rFonts w:hint="eastAsia" w:ascii="方正仿宋简体" w:hAnsi="方正仿宋简体" w:eastAsia="方正仿宋简体" w:cs="方正仿宋简体"/>
                <w:color w:val="auto"/>
                <w:kern w:val="0"/>
                <w:sz w:val="24"/>
                <w:szCs w:val="24"/>
                <w:highlight w:val="none"/>
                <w:lang w:eastAsia="zh-CN"/>
              </w:rPr>
              <w:t>（</w:t>
            </w:r>
            <w:r>
              <w:rPr>
                <w:rFonts w:hint="eastAsia" w:ascii="方正仿宋简体" w:hAnsi="方正仿宋简体" w:eastAsia="方正仿宋简体" w:cs="方正仿宋简体"/>
                <w:color w:val="auto"/>
                <w:kern w:val="0"/>
                <w:sz w:val="24"/>
                <w:szCs w:val="24"/>
                <w:highlight w:val="none"/>
                <w:lang w:val="en-US" w:eastAsia="zh-CN"/>
              </w:rPr>
              <w:t>社区</w:t>
            </w:r>
            <w:r>
              <w:rPr>
                <w:rFonts w:hint="eastAsia" w:ascii="方正仿宋简体" w:hAnsi="方正仿宋简体" w:eastAsia="方正仿宋简体" w:cs="方正仿宋简体"/>
                <w:color w:val="auto"/>
                <w:kern w:val="0"/>
                <w:sz w:val="24"/>
                <w:szCs w:val="24"/>
                <w:highlight w:val="none"/>
                <w:lang w:eastAsia="zh-CN"/>
              </w:rPr>
              <w:t>）</w:t>
            </w:r>
            <w:r>
              <w:rPr>
                <w:rFonts w:hint="eastAsia" w:ascii="方正仿宋简体" w:hAnsi="方正仿宋简体" w:eastAsia="方正仿宋简体" w:cs="方正仿宋简体"/>
                <w:color w:val="auto"/>
                <w:kern w:val="0"/>
                <w:sz w:val="24"/>
                <w:szCs w:val="24"/>
                <w:highlight w:val="none"/>
              </w:rPr>
              <w:t>，帮助学校加强课后服务和科、艺、体专业社团建设</w:t>
            </w:r>
          </w:p>
        </w:tc>
        <w:tc>
          <w:tcPr>
            <w:tcW w:w="6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ED639C">
            <w:pPr>
              <w:spacing w:line="360" w:lineRule="exact"/>
              <w:jc w:val="center"/>
              <w:rPr>
                <w:rFonts w:hint="eastAsia" w:ascii="方正仿宋简体" w:hAnsi="方正仿宋简体" w:eastAsia="方正仿宋简体" w:cs="方正仿宋简体"/>
                <w:color w:val="auto"/>
                <w:kern w:val="0"/>
                <w:sz w:val="24"/>
                <w:szCs w:val="24"/>
                <w:highlight w:val="none"/>
                <w:lang w:eastAsia="zh-CN"/>
              </w:rPr>
            </w:pPr>
            <w:r>
              <w:rPr>
                <w:rFonts w:hint="eastAsia" w:ascii="方正仿宋简体" w:hAnsi="方正仿宋简体" w:eastAsia="方正仿宋简体" w:cs="方正仿宋简体"/>
                <w:color w:val="auto"/>
                <w:kern w:val="0"/>
                <w:sz w:val="24"/>
                <w:szCs w:val="24"/>
                <w:highlight w:val="none"/>
                <w:lang w:val="en-US" w:eastAsia="zh-CN"/>
              </w:rPr>
              <w:t>7</w:t>
            </w:r>
          </w:p>
        </w:tc>
        <w:tc>
          <w:tcPr>
            <w:tcW w:w="11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A111FC">
            <w:pPr>
              <w:spacing w:line="360" w:lineRule="exact"/>
              <w:jc w:val="center"/>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≥2000人次</w:t>
            </w:r>
          </w:p>
        </w:tc>
        <w:tc>
          <w:tcPr>
            <w:tcW w:w="258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4FF685A">
            <w:pPr>
              <w:spacing w:line="360" w:lineRule="exact"/>
              <w:jc w:val="left"/>
              <w:rPr>
                <w:rFonts w:hint="eastAsia" w:ascii="方正仿宋简体" w:hAnsi="方正仿宋简体" w:eastAsia="方正仿宋简体" w:cs="方正仿宋简体"/>
                <w:color w:val="auto"/>
                <w:kern w:val="0"/>
                <w:sz w:val="24"/>
                <w:szCs w:val="24"/>
                <w:highlight w:val="none"/>
              </w:rPr>
            </w:pPr>
          </w:p>
          <w:p w14:paraId="0156DE52">
            <w:pPr>
              <w:spacing w:line="36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lang w:eastAsia="zh-CN"/>
              </w:rPr>
              <w:t>主要考核落实“双减”政策，继续开展“公益课程进校园、社区”</w:t>
            </w:r>
            <w:r>
              <w:rPr>
                <w:rFonts w:hint="eastAsia" w:ascii="方正仿宋简体" w:hAnsi="方正仿宋简体" w:eastAsia="方正仿宋简体" w:cs="方正仿宋简体"/>
                <w:color w:val="auto"/>
                <w:kern w:val="0"/>
                <w:sz w:val="24"/>
                <w:szCs w:val="24"/>
                <w:highlight w:val="none"/>
                <w:lang w:val="en-US" w:eastAsia="zh-CN"/>
              </w:rPr>
              <w:t>润心活动</w:t>
            </w:r>
            <w:r>
              <w:rPr>
                <w:rFonts w:hint="eastAsia" w:ascii="方正仿宋简体" w:hAnsi="方正仿宋简体" w:eastAsia="方正仿宋简体" w:cs="方正仿宋简体"/>
                <w:color w:val="auto"/>
                <w:kern w:val="0"/>
                <w:sz w:val="24"/>
                <w:szCs w:val="24"/>
                <w:highlight w:val="none"/>
                <w:lang w:eastAsia="zh-CN"/>
              </w:rPr>
              <w:t>等公益服务情况</w:t>
            </w:r>
          </w:p>
        </w:tc>
        <w:tc>
          <w:tcPr>
            <w:tcW w:w="21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57B411A">
            <w:pPr>
              <w:spacing w:line="36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lang w:eastAsia="zh-CN"/>
              </w:rPr>
              <w:t>1、打造“校内外协同育人生态圈”</w:t>
            </w:r>
            <w:r>
              <w:rPr>
                <w:rFonts w:hint="eastAsia" w:ascii="方正仿宋简体" w:hAnsi="方正仿宋简体" w:eastAsia="方正仿宋简体" w:cs="方正仿宋简体"/>
                <w:color w:val="auto"/>
                <w:kern w:val="0"/>
                <w:sz w:val="24"/>
                <w:szCs w:val="24"/>
                <w:highlight w:val="none"/>
                <w:lang w:val="en-US" w:eastAsia="zh-CN"/>
              </w:rPr>
              <w:t>共建学校数5所</w:t>
            </w:r>
            <w:r>
              <w:rPr>
                <w:rFonts w:hint="eastAsia" w:ascii="方正仿宋简体" w:hAnsi="方正仿宋简体" w:eastAsia="方正仿宋简体" w:cs="方正仿宋简体"/>
                <w:color w:val="auto"/>
                <w:kern w:val="0"/>
                <w:sz w:val="24"/>
                <w:szCs w:val="24"/>
                <w:highlight w:val="none"/>
                <w:lang w:eastAsia="zh-CN"/>
              </w:rPr>
              <w:t>得</w:t>
            </w:r>
            <w:r>
              <w:rPr>
                <w:rFonts w:hint="eastAsia" w:ascii="方正仿宋简体" w:hAnsi="方正仿宋简体" w:eastAsia="方正仿宋简体" w:cs="方正仿宋简体"/>
                <w:color w:val="auto"/>
                <w:kern w:val="0"/>
                <w:sz w:val="24"/>
                <w:szCs w:val="24"/>
                <w:highlight w:val="none"/>
                <w:lang w:val="en-US" w:eastAsia="zh-CN"/>
              </w:rPr>
              <w:t>4</w:t>
            </w:r>
            <w:r>
              <w:rPr>
                <w:rFonts w:hint="eastAsia" w:ascii="方正仿宋简体" w:hAnsi="方正仿宋简体" w:eastAsia="方正仿宋简体" w:cs="方正仿宋简体"/>
                <w:color w:val="auto"/>
                <w:kern w:val="0"/>
                <w:sz w:val="24"/>
                <w:szCs w:val="24"/>
                <w:highlight w:val="none"/>
                <w:lang w:eastAsia="zh-CN"/>
              </w:rPr>
              <w:t>分，</w:t>
            </w:r>
            <w:r>
              <w:rPr>
                <w:rFonts w:hint="eastAsia" w:ascii="方正仿宋简体" w:hAnsi="方正仿宋简体" w:eastAsia="方正仿宋简体" w:cs="方正仿宋简体"/>
                <w:color w:val="auto"/>
                <w:kern w:val="0"/>
                <w:sz w:val="24"/>
                <w:szCs w:val="24"/>
                <w:highlight w:val="none"/>
                <w:lang w:val="en-US" w:eastAsia="zh-CN"/>
              </w:rPr>
              <w:t>低于5所酌情扣分</w:t>
            </w:r>
            <w:r>
              <w:rPr>
                <w:rFonts w:hint="eastAsia" w:ascii="方正仿宋简体" w:hAnsi="方正仿宋简体" w:eastAsia="方正仿宋简体" w:cs="方正仿宋简体"/>
                <w:color w:val="auto"/>
                <w:kern w:val="0"/>
                <w:sz w:val="24"/>
                <w:szCs w:val="24"/>
                <w:highlight w:val="none"/>
                <w:lang w:eastAsia="zh-CN"/>
              </w:rPr>
              <w:t>；2、</w:t>
            </w:r>
            <w:r>
              <w:rPr>
                <w:rFonts w:hint="eastAsia" w:ascii="方正仿宋简体" w:hAnsi="方正仿宋简体" w:eastAsia="方正仿宋简体" w:cs="方正仿宋简体"/>
                <w:color w:val="auto"/>
                <w:kern w:val="0"/>
                <w:sz w:val="24"/>
                <w:szCs w:val="24"/>
                <w:highlight w:val="none"/>
              </w:rPr>
              <w:t>全年参与</w:t>
            </w:r>
            <w:r>
              <w:rPr>
                <w:rFonts w:hint="eastAsia" w:ascii="方正仿宋简体" w:hAnsi="方正仿宋简体" w:eastAsia="方正仿宋简体" w:cs="方正仿宋简体"/>
                <w:color w:val="auto"/>
                <w:kern w:val="0"/>
                <w:sz w:val="24"/>
                <w:szCs w:val="24"/>
                <w:highlight w:val="none"/>
                <w:lang w:eastAsia="zh-CN"/>
              </w:rPr>
              <w:t>公益课程</w:t>
            </w:r>
            <w:r>
              <w:rPr>
                <w:rFonts w:hint="eastAsia" w:ascii="方正仿宋简体" w:hAnsi="方正仿宋简体" w:eastAsia="方正仿宋简体" w:cs="方正仿宋简体"/>
                <w:color w:val="auto"/>
                <w:kern w:val="0"/>
                <w:sz w:val="24"/>
                <w:szCs w:val="24"/>
                <w:highlight w:val="none"/>
              </w:rPr>
              <w:t>服务人次</w:t>
            </w:r>
            <w:r>
              <w:rPr>
                <w:rFonts w:hint="eastAsia" w:ascii="方正仿宋简体" w:hAnsi="方正仿宋简体" w:eastAsia="方正仿宋简体" w:cs="方正仿宋简体"/>
                <w:color w:val="auto"/>
                <w:kern w:val="0"/>
                <w:sz w:val="24"/>
                <w:szCs w:val="24"/>
                <w:highlight w:val="none"/>
                <w:lang w:eastAsia="zh-CN"/>
              </w:rPr>
              <w:t>2000人以上得</w:t>
            </w:r>
            <w:r>
              <w:rPr>
                <w:rFonts w:hint="eastAsia" w:ascii="方正仿宋简体" w:hAnsi="方正仿宋简体" w:eastAsia="方正仿宋简体" w:cs="方正仿宋简体"/>
                <w:color w:val="auto"/>
                <w:kern w:val="0"/>
                <w:sz w:val="24"/>
                <w:szCs w:val="24"/>
                <w:highlight w:val="none"/>
                <w:lang w:val="en-US" w:eastAsia="zh-CN"/>
              </w:rPr>
              <w:t>3</w:t>
            </w:r>
            <w:r>
              <w:rPr>
                <w:rFonts w:hint="eastAsia" w:ascii="方正仿宋简体" w:hAnsi="方正仿宋简体" w:eastAsia="方正仿宋简体" w:cs="方正仿宋简体"/>
                <w:color w:val="auto"/>
                <w:kern w:val="0"/>
                <w:sz w:val="24"/>
                <w:szCs w:val="24"/>
                <w:highlight w:val="none"/>
                <w:lang w:eastAsia="zh-CN"/>
              </w:rPr>
              <w:t>分。</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10262FC">
            <w:pPr>
              <w:spacing w:line="360" w:lineRule="exact"/>
              <w:jc w:val="center"/>
              <w:rPr>
                <w:rFonts w:hint="eastAsia" w:ascii="方正仿宋简体" w:hAnsi="方正仿宋简体" w:eastAsia="方正仿宋简体" w:cs="方正仿宋简体"/>
                <w:color w:val="auto"/>
                <w:kern w:val="0"/>
                <w:sz w:val="24"/>
                <w:szCs w:val="24"/>
                <w:highlight w:val="none"/>
                <w:shd w:val="clear" w:color="FFFFFF" w:fill="D9D9D9"/>
                <w:lang w:eastAsia="zh-CN"/>
              </w:rPr>
            </w:pPr>
            <w:r>
              <w:rPr>
                <w:rFonts w:hint="eastAsia" w:ascii="方正仿宋简体" w:hAnsi="方正仿宋简体" w:eastAsia="方正仿宋简体" w:cs="方正仿宋简体"/>
                <w:color w:val="auto"/>
                <w:kern w:val="0"/>
                <w:sz w:val="24"/>
                <w:szCs w:val="24"/>
                <w:highlight w:val="none"/>
                <w:lang w:val="en-US" w:eastAsia="zh-CN"/>
              </w:rPr>
              <w:t>7</w:t>
            </w:r>
          </w:p>
        </w:tc>
        <w:tc>
          <w:tcPr>
            <w:tcW w:w="374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2282E8D2">
            <w:pPr>
              <w:spacing w:line="300" w:lineRule="exact"/>
              <w:jc w:val="left"/>
              <w:rPr>
                <w:rFonts w:hint="eastAsia" w:ascii="方正仿宋简体" w:hAnsi="方正仿宋简体" w:eastAsia="方正仿宋简体" w:cs="方正仿宋简体"/>
                <w:color w:val="auto"/>
                <w:sz w:val="24"/>
                <w:szCs w:val="24"/>
                <w:highlight w:val="none"/>
              </w:rPr>
            </w:pPr>
            <w:r>
              <w:rPr>
                <w:rFonts w:hint="eastAsia" w:ascii="方正仿宋简体" w:hAnsi="方正仿宋简体" w:eastAsia="方正仿宋简体" w:cs="方正仿宋简体"/>
                <w:color w:val="auto"/>
                <w:sz w:val="24"/>
                <w:szCs w:val="24"/>
                <w:highlight w:val="none"/>
                <w:lang w:val="en-US" w:eastAsia="zh-CN"/>
              </w:rPr>
              <w:t>中心</w:t>
            </w:r>
            <w:r>
              <w:rPr>
                <w:rFonts w:hint="eastAsia" w:ascii="方正仿宋简体" w:hAnsi="方正仿宋简体" w:eastAsia="方正仿宋简体" w:cs="方正仿宋简体"/>
                <w:color w:val="auto"/>
                <w:sz w:val="24"/>
                <w:szCs w:val="24"/>
                <w:highlight w:val="none"/>
              </w:rPr>
              <w:t>打造“校内外协同育人生态圈”，成功与</w:t>
            </w:r>
            <w:r>
              <w:rPr>
                <w:rFonts w:hint="eastAsia" w:ascii="方正仿宋简体" w:hAnsi="方正仿宋简体" w:eastAsia="方正仿宋简体" w:cs="方正仿宋简体"/>
                <w:color w:val="auto"/>
                <w:sz w:val="24"/>
                <w:szCs w:val="24"/>
                <w:highlight w:val="none"/>
                <w:lang w:val="en-US" w:eastAsia="zh-CN"/>
              </w:rPr>
              <w:t>5所中小</w:t>
            </w:r>
            <w:r>
              <w:rPr>
                <w:rFonts w:hint="eastAsia" w:ascii="方正仿宋简体" w:hAnsi="方正仿宋简体" w:eastAsia="方正仿宋简体" w:cs="方正仿宋简体"/>
                <w:color w:val="auto"/>
                <w:sz w:val="24"/>
                <w:szCs w:val="24"/>
                <w:highlight w:val="none"/>
              </w:rPr>
              <w:t>学共建收费性特色社团</w:t>
            </w:r>
            <w:r>
              <w:rPr>
                <w:rFonts w:hint="eastAsia" w:ascii="方正仿宋简体" w:hAnsi="方正仿宋简体" w:eastAsia="方正仿宋简体" w:cs="方正仿宋简体"/>
                <w:color w:val="auto"/>
                <w:sz w:val="24"/>
                <w:szCs w:val="24"/>
                <w:highlight w:val="none"/>
                <w:lang w:eastAsia="zh-CN"/>
              </w:rPr>
              <w:t>，</w:t>
            </w:r>
            <w:r>
              <w:rPr>
                <w:rFonts w:hint="eastAsia" w:ascii="方正仿宋简体" w:hAnsi="方正仿宋简体" w:eastAsia="方正仿宋简体" w:cs="方正仿宋简体"/>
                <w:color w:val="auto"/>
                <w:spacing w:val="7"/>
                <w:sz w:val="24"/>
                <w:szCs w:val="24"/>
                <w:highlight w:val="none"/>
              </w:rPr>
              <w:t>将优质课程送进校园、社区，为2</w:t>
            </w:r>
            <w:r>
              <w:rPr>
                <w:rFonts w:hint="eastAsia" w:ascii="方正仿宋简体" w:hAnsi="方正仿宋简体" w:eastAsia="方正仿宋简体" w:cs="方正仿宋简体"/>
                <w:color w:val="auto"/>
                <w:spacing w:val="7"/>
                <w:sz w:val="24"/>
                <w:szCs w:val="24"/>
                <w:highlight w:val="none"/>
                <w:lang w:val="en-US" w:eastAsia="zh-CN"/>
              </w:rPr>
              <w:t>185</w:t>
            </w:r>
            <w:r>
              <w:rPr>
                <w:rFonts w:hint="eastAsia" w:ascii="方正仿宋简体" w:hAnsi="方正仿宋简体" w:eastAsia="方正仿宋简体" w:cs="方正仿宋简体"/>
                <w:color w:val="auto"/>
                <w:spacing w:val="7"/>
                <w:sz w:val="24"/>
                <w:szCs w:val="24"/>
                <w:highlight w:val="none"/>
              </w:rPr>
              <w:t>名少年儿童提供公益课程服务，助力推进全市“双减”工作。</w:t>
            </w:r>
          </w:p>
        </w:tc>
      </w:tr>
      <w:tr w14:paraId="211F26BB">
        <w:tblPrEx>
          <w:shd w:val="clear" w:color="auto" w:fill="auto"/>
          <w:tblCellMar>
            <w:top w:w="0" w:type="dxa"/>
            <w:left w:w="108" w:type="dxa"/>
            <w:bottom w:w="0" w:type="dxa"/>
            <w:right w:w="108" w:type="dxa"/>
          </w:tblCellMar>
        </w:tblPrEx>
        <w:trPr>
          <w:trHeight w:val="3789" w:hRule="atLeast"/>
          <w:jc w:val="center"/>
        </w:trPr>
        <w:tc>
          <w:tcPr>
            <w:tcW w:w="1181" w:type="dxa"/>
            <w:vMerge w:val="continue"/>
            <w:tcBorders>
              <w:left w:val="single" w:color="auto" w:sz="4" w:space="0"/>
              <w:right w:val="single" w:color="auto" w:sz="4" w:space="0"/>
            </w:tcBorders>
            <w:shd w:val="clear" w:color="auto" w:fill="auto"/>
            <w:noWrap w:val="0"/>
            <w:vAlign w:val="center"/>
          </w:tcPr>
          <w:p w14:paraId="645F0BE0">
            <w:pPr>
              <w:spacing w:line="360" w:lineRule="exact"/>
              <w:jc w:val="left"/>
              <w:rPr>
                <w:rFonts w:hint="eastAsia" w:ascii="方正仿宋简体" w:hAnsi="方正仿宋简体" w:eastAsia="方正仿宋简体" w:cs="方正仿宋简体"/>
                <w:color w:val="auto"/>
                <w:kern w:val="0"/>
                <w:sz w:val="24"/>
                <w:szCs w:val="24"/>
                <w:highlight w:val="none"/>
              </w:rPr>
            </w:pPr>
          </w:p>
        </w:tc>
        <w:tc>
          <w:tcPr>
            <w:tcW w:w="1216" w:type="dxa"/>
            <w:vMerge w:val="restart"/>
            <w:tcBorders>
              <w:top w:val="single" w:color="auto" w:sz="4" w:space="0"/>
              <w:left w:val="single" w:color="auto" w:sz="4" w:space="0"/>
              <w:right w:val="single" w:color="auto" w:sz="4" w:space="0"/>
            </w:tcBorders>
            <w:shd w:val="clear" w:color="auto" w:fill="auto"/>
            <w:noWrap w:val="0"/>
            <w:vAlign w:val="center"/>
          </w:tcPr>
          <w:p w14:paraId="77A9E320">
            <w:pPr>
              <w:spacing w:line="360" w:lineRule="exact"/>
              <w:jc w:val="left"/>
              <w:rPr>
                <w:rFonts w:hint="eastAsia" w:ascii="方正仿宋简体" w:hAnsi="方正仿宋简体" w:eastAsia="方正仿宋简体" w:cs="方正仿宋简体"/>
                <w:color w:val="auto"/>
                <w:kern w:val="0"/>
                <w:sz w:val="24"/>
                <w:szCs w:val="24"/>
                <w:highlight w:val="none"/>
                <w:lang w:eastAsia="zh-CN"/>
              </w:rPr>
            </w:pPr>
            <w:r>
              <w:rPr>
                <w:rFonts w:hint="eastAsia" w:ascii="方正仿宋简体" w:hAnsi="方正仿宋简体" w:eastAsia="方正仿宋简体" w:cs="方正仿宋简体"/>
                <w:color w:val="auto"/>
                <w:kern w:val="0"/>
                <w:sz w:val="24"/>
                <w:szCs w:val="24"/>
                <w:highlight w:val="none"/>
              </w:rPr>
              <w:t>C2不断扩大公益服务范围，树立“终身学习”生活理念，提供全年龄段素养提升服务；紧盯家庭教育需求，深化协同共育创新机制。</w:t>
            </w:r>
            <w:r>
              <w:rPr>
                <w:rFonts w:hint="eastAsia" w:ascii="方正仿宋简体" w:hAnsi="方正仿宋简体" w:eastAsia="方正仿宋简体" w:cs="方正仿宋简体"/>
                <w:color w:val="auto"/>
                <w:kern w:val="0"/>
                <w:sz w:val="24"/>
                <w:szCs w:val="24"/>
                <w:highlight w:val="none"/>
                <w:lang w:eastAsia="zh-CN"/>
              </w:rPr>
              <w:t>（</w:t>
            </w:r>
            <w:r>
              <w:rPr>
                <w:rFonts w:hint="eastAsia" w:ascii="方正仿宋简体" w:hAnsi="方正仿宋简体" w:eastAsia="方正仿宋简体" w:cs="方正仿宋简体"/>
                <w:color w:val="auto"/>
                <w:kern w:val="0"/>
                <w:sz w:val="24"/>
                <w:szCs w:val="24"/>
                <w:highlight w:val="none"/>
                <w:lang w:val="en-US" w:eastAsia="zh-CN"/>
              </w:rPr>
              <w:t>12分</w:t>
            </w:r>
            <w:r>
              <w:rPr>
                <w:rFonts w:hint="eastAsia" w:ascii="方正仿宋简体" w:hAnsi="方正仿宋简体" w:eastAsia="方正仿宋简体" w:cs="方正仿宋简体"/>
                <w:color w:val="auto"/>
                <w:kern w:val="0"/>
                <w:sz w:val="24"/>
                <w:szCs w:val="24"/>
                <w:highlight w:val="none"/>
                <w:lang w:eastAsia="zh-CN"/>
              </w:rPr>
              <w:t>）</w:t>
            </w:r>
          </w:p>
        </w:tc>
        <w:tc>
          <w:tcPr>
            <w:tcW w:w="14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1C5BBBF">
            <w:pPr>
              <w:spacing w:line="36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C21持续打造女性服务品牌课程建设，开展各类培训，沙龙等活动。</w:t>
            </w:r>
          </w:p>
        </w:tc>
        <w:tc>
          <w:tcPr>
            <w:tcW w:w="655"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74AC7DB7">
            <w:pPr>
              <w:spacing w:line="360" w:lineRule="exact"/>
              <w:rPr>
                <w:rFonts w:hint="eastAsia" w:ascii="方正仿宋简体" w:hAnsi="方正仿宋简体" w:eastAsia="方正仿宋简体" w:cs="方正仿宋简体"/>
                <w:color w:val="auto"/>
                <w:kern w:val="0"/>
                <w:sz w:val="24"/>
                <w:szCs w:val="24"/>
                <w:highlight w:val="none"/>
                <w:lang w:eastAsia="zh-CN"/>
              </w:rPr>
            </w:pPr>
          </w:p>
          <w:p w14:paraId="72113567">
            <w:pPr>
              <w:spacing w:line="360" w:lineRule="exact"/>
              <w:rPr>
                <w:rFonts w:hint="eastAsia" w:ascii="方正仿宋简体" w:hAnsi="方正仿宋简体" w:eastAsia="方正仿宋简体" w:cs="方正仿宋简体"/>
                <w:color w:val="auto"/>
                <w:kern w:val="0"/>
                <w:sz w:val="24"/>
                <w:szCs w:val="24"/>
                <w:highlight w:val="none"/>
              </w:rPr>
            </w:pPr>
          </w:p>
          <w:p w14:paraId="41F07C16">
            <w:pPr>
              <w:spacing w:line="360" w:lineRule="exact"/>
              <w:rPr>
                <w:rFonts w:hint="eastAsia" w:ascii="方正仿宋简体" w:hAnsi="方正仿宋简体" w:eastAsia="方正仿宋简体" w:cs="方正仿宋简体"/>
                <w:color w:val="auto"/>
                <w:kern w:val="0"/>
                <w:sz w:val="24"/>
                <w:szCs w:val="24"/>
                <w:highlight w:val="none"/>
              </w:rPr>
            </w:pPr>
          </w:p>
          <w:p w14:paraId="0B796E33">
            <w:pPr>
              <w:spacing w:line="360" w:lineRule="exact"/>
              <w:rPr>
                <w:rFonts w:hint="eastAsia" w:ascii="方正仿宋简体" w:hAnsi="方正仿宋简体" w:eastAsia="方正仿宋简体" w:cs="方正仿宋简体"/>
                <w:color w:val="auto"/>
                <w:kern w:val="0"/>
                <w:sz w:val="24"/>
                <w:szCs w:val="24"/>
                <w:highlight w:val="none"/>
              </w:rPr>
            </w:pPr>
          </w:p>
          <w:p w14:paraId="4CC3FDB6">
            <w:pPr>
              <w:spacing w:line="360" w:lineRule="exact"/>
              <w:rPr>
                <w:rFonts w:hint="eastAsia" w:ascii="方正仿宋简体" w:hAnsi="方正仿宋简体" w:eastAsia="方正仿宋简体" w:cs="方正仿宋简体"/>
                <w:color w:val="auto"/>
                <w:kern w:val="0"/>
                <w:sz w:val="24"/>
                <w:szCs w:val="24"/>
                <w:highlight w:val="none"/>
                <w:lang w:val="en-US" w:eastAsia="zh-CN"/>
              </w:rPr>
            </w:pPr>
          </w:p>
          <w:p w14:paraId="5548724E">
            <w:pPr>
              <w:spacing w:line="360" w:lineRule="exact"/>
              <w:ind w:firstLine="240" w:firstLineChars="100"/>
              <w:rPr>
                <w:rFonts w:hint="eastAsia" w:ascii="方正仿宋简体" w:hAnsi="方正仿宋简体" w:eastAsia="方正仿宋简体" w:cs="方正仿宋简体"/>
                <w:color w:val="auto"/>
                <w:kern w:val="0"/>
                <w:sz w:val="24"/>
                <w:szCs w:val="24"/>
                <w:highlight w:val="none"/>
                <w:lang w:eastAsia="zh-CN"/>
              </w:rPr>
            </w:pPr>
            <w:r>
              <w:rPr>
                <w:rFonts w:hint="eastAsia" w:ascii="方正仿宋简体" w:hAnsi="方正仿宋简体" w:eastAsia="方正仿宋简体" w:cs="方正仿宋简体"/>
                <w:color w:val="auto"/>
                <w:kern w:val="0"/>
                <w:sz w:val="24"/>
                <w:szCs w:val="24"/>
                <w:highlight w:val="none"/>
                <w:lang w:val="en-US" w:eastAsia="zh-CN"/>
              </w:rPr>
              <w:t>6</w:t>
            </w:r>
          </w:p>
        </w:tc>
        <w:tc>
          <w:tcPr>
            <w:tcW w:w="111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3AEAEF7">
            <w:pPr>
              <w:spacing w:line="360" w:lineRule="exact"/>
              <w:jc w:val="center"/>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w:t>
            </w:r>
            <w:r>
              <w:rPr>
                <w:rFonts w:hint="eastAsia" w:ascii="方正仿宋简体" w:hAnsi="方正仿宋简体" w:eastAsia="方正仿宋简体" w:cs="方正仿宋简体"/>
                <w:color w:val="auto"/>
                <w:kern w:val="0"/>
                <w:sz w:val="24"/>
                <w:szCs w:val="24"/>
                <w:highlight w:val="none"/>
                <w:lang w:val="en-US" w:eastAsia="zh-CN"/>
              </w:rPr>
              <w:t>100</w:t>
            </w:r>
            <w:r>
              <w:rPr>
                <w:rFonts w:hint="eastAsia" w:ascii="方正仿宋简体" w:hAnsi="方正仿宋简体" w:eastAsia="方正仿宋简体" w:cs="方正仿宋简体"/>
                <w:color w:val="auto"/>
                <w:kern w:val="0"/>
                <w:sz w:val="24"/>
                <w:szCs w:val="24"/>
                <w:highlight w:val="none"/>
              </w:rPr>
              <w:t>0人次</w:t>
            </w:r>
          </w:p>
        </w:tc>
        <w:tc>
          <w:tcPr>
            <w:tcW w:w="258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A7BE485">
            <w:pPr>
              <w:pStyle w:val="31"/>
              <w:spacing w:line="400" w:lineRule="exact"/>
              <w:rPr>
                <w:rFonts w:hint="default" w:ascii="方正仿宋简体" w:hAnsi="方正仿宋简体" w:eastAsia="方正仿宋简体" w:cs="方正仿宋简体"/>
                <w:color w:val="auto"/>
                <w:kern w:val="0"/>
                <w:sz w:val="24"/>
                <w:szCs w:val="24"/>
                <w:highlight w:val="none"/>
                <w:lang w:val="en-US" w:eastAsia="zh-CN"/>
              </w:rPr>
            </w:pPr>
            <w:r>
              <w:rPr>
                <w:rFonts w:hint="eastAsia" w:ascii="方正仿宋简体" w:hAnsi="方正仿宋简体" w:eastAsia="方正仿宋简体" w:cs="方正仿宋简体"/>
                <w:color w:val="auto"/>
                <w:kern w:val="0"/>
                <w:sz w:val="24"/>
                <w:szCs w:val="24"/>
                <w:highlight w:val="none"/>
                <w:lang w:eastAsia="zh-CN"/>
              </w:rPr>
              <w:t>主要考核</w:t>
            </w:r>
            <w:r>
              <w:rPr>
                <w:rFonts w:hint="eastAsia" w:ascii="方正仿宋简体" w:hAnsi="方正仿宋简体" w:eastAsia="方正仿宋简体" w:cs="方正仿宋简体"/>
                <w:color w:val="auto"/>
                <w:spacing w:val="7"/>
                <w:sz w:val="24"/>
                <w:szCs w:val="24"/>
                <w:highlight w:val="none"/>
                <w:lang w:val="en-US" w:eastAsia="zh-CN"/>
              </w:rPr>
              <w:t>女性服务品牌区域延伸服务发展情况及品牌</w:t>
            </w:r>
            <w:r>
              <w:rPr>
                <w:rFonts w:hint="eastAsia" w:ascii="方正仿宋简体" w:hAnsi="方正仿宋简体" w:eastAsia="方正仿宋简体" w:cs="方正仿宋简体"/>
                <w:color w:val="auto"/>
                <w:spacing w:val="7"/>
                <w:sz w:val="24"/>
                <w:szCs w:val="24"/>
                <w:highlight w:val="none"/>
              </w:rPr>
              <w:t>活动参与情况</w:t>
            </w:r>
          </w:p>
        </w:tc>
        <w:tc>
          <w:tcPr>
            <w:tcW w:w="21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4BDF879">
            <w:pPr>
              <w:pStyle w:val="31"/>
              <w:spacing w:line="400" w:lineRule="exac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lang w:eastAsia="zh-CN"/>
              </w:rPr>
              <w:t>1、</w:t>
            </w:r>
            <w:r>
              <w:rPr>
                <w:rFonts w:hint="eastAsia" w:ascii="方正仿宋简体" w:hAnsi="方正仿宋简体" w:eastAsia="方正仿宋简体" w:cs="方正仿宋简体"/>
                <w:color w:val="auto"/>
                <w:kern w:val="0"/>
                <w:sz w:val="24"/>
                <w:szCs w:val="24"/>
                <w:highlight w:val="none"/>
                <w:lang w:val="en-US" w:eastAsia="zh-CN"/>
              </w:rPr>
              <w:t>有效延伸服务范围，提升服务质量</w:t>
            </w:r>
            <w:r>
              <w:rPr>
                <w:rFonts w:hint="eastAsia" w:ascii="方正仿宋简体" w:hAnsi="方正仿宋简体" w:eastAsia="方正仿宋简体" w:cs="方正仿宋简体"/>
                <w:color w:val="auto"/>
                <w:kern w:val="0"/>
                <w:sz w:val="24"/>
                <w:szCs w:val="24"/>
                <w:highlight w:val="none"/>
                <w:lang w:eastAsia="zh-CN"/>
              </w:rPr>
              <w:t>得</w:t>
            </w:r>
            <w:r>
              <w:rPr>
                <w:rFonts w:hint="eastAsia" w:ascii="方正仿宋简体" w:hAnsi="方正仿宋简体" w:eastAsia="方正仿宋简体" w:cs="方正仿宋简体"/>
                <w:color w:val="auto"/>
                <w:kern w:val="0"/>
                <w:sz w:val="24"/>
                <w:szCs w:val="24"/>
                <w:highlight w:val="none"/>
                <w:lang w:val="en-US" w:eastAsia="zh-CN"/>
              </w:rPr>
              <w:t>3</w:t>
            </w:r>
            <w:r>
              <w:rPr>
                <w:rFonts w:hint="eastAsia" w:ascii="方正仿宋简体" w:hAnsi="方正仿宋简体" w:eastAsia="方正仿宋简体" w:cs="方正仿宋简体"/>
                <w:color w:val="auto"/>
                <w:kern w:val="0"/>
                <w:sz w:val="24"/>
                <w:szCs w:val="24"/>
                <w:highlight w:val="none"/>
                <w:lang w:eastAsia="zh-CN"/>
              </w:rPr>
              <w:t>分；2、</w:t>
            </w:r>
            <w:r>
              <w:rPr>
                <w:rFonts w:hint="eastAsia" w:ascii="方正仿宋简体" w:hAnsi="方正仿宋简体" w:eastAsia="方正仿宋简体" w:cs="方正仿宋简体"/>
                <w:color w:val="auto"/>
                <w:kern w:val="0"/>
                <w:sz w:val="24"/>
                <w:szCs w:val="24"/>
                <w:highlight w:val="none"/>
              </w:rPr>
              <w:t>全年参与</w:t>
            </w:r>
            <w:r>
              <w:rPr>
                <w:rFonts w:hint="eastAsia" w:ascii="方正仿宋简体" w:hAnsi="方正仿宋简体" w:eastAsia="方正仿宋简体" w:cs="方正仿宋简体"/>
                <w:color w:val="auto"/>
                <w:kern w:val="0"/>
                <w:sz w:val="24"/>
                <w:szCs w:val="24"/>
                <w:highlight w:val="none"/>
                <w:lang w:val="en-US" w:eastAsia="zh-CN"/>
              </w:rPr>
              <w:t>项目活动</w:t>
            </w:r>
            <w:r>
              <w:rPr>
                <w:rFonts w:hint="eastAsia" w:ascii="方正仿宋简体" w:hAnsi="方正仿宋简体" w:eastAsia="方正仿宋简体" w:cs="方正仿宋简体"/>
                <w:color w:val="auto"/>
                <w:kern w:val="0"/>
                <w:sz w:val="24"/>
                <w:szCs w:val="24"/>
                <w:highlight w:val="none"/>
              </w:rPr>
              <w:t>人次</w:t>
            </w:r>
            <w:r>
              <w:rPr>
                <w:rFonts w:hint="eastAsia" w:ascii="方正仿宋简体" w:hAnsi="方正仿宋简体" w:eastAsia="方正仿宋简体" w:cs="方正仿宋简体"/>
                <w:color w:val="auto"/>
                <w:kern w:val="0"/>
                <w:sz w:val="24"/>
                <w:szCs w:val="24"/>
                <w:highlight w:val="none"/>
                <w:lang w:val="en-US" w:eastAsia="zh-CN"/>
              </w:rPr>
              <w:t>1000</w:t>
            </w:r>
            <w:r>
              <w:rPr>
                <w:rFonts w:hint="eastAsia" w:ascii="方正仿宋简体" w:hAnsi="方正仿宋简体" w:eastAsia="方正仿宋简体" w:cs="方正仿宋简体"/>
                <w:color w:val="auto"/>
                <w:kern w:val="0"/>
                <w:sz w:val="24"/>
                <w:szCs w:val="24"/>
                <w:highlight w:val="none"/>
                <w:lang w:eastAsia="zh-CN"/>
              </w:rPr>
              <w:t>人以上得</w:t>
            </w:r>
            <w:r>
              <w:rPr>
                <w:rFonts w:hint="eastAsia" w:ascii="方正仿宋简体" w:hAnsi="方正仿宋简体" w:eastAsia="方正仿宋简体" w:cs="方正仿宋简体"/>
                <w:color w:val="auto"/>
                <w:kern w:val="0"/>
                <w:sz w:val="24"/>
                <w:szCs w:val="24"/>
                <w:highlight w:val="none"/>
                <w:lang w:val="en-US" w:eastAsia="zh-CN"/>
              </w:rPr>
              <w:t>3</w:t>
            </w:r>
            <w:r>
              <w:rPr>
                <w:rFonts w:hint="eastAsia" w:ascii="方正仿宋简体" w:hAnsi="方正仿宋简体" w:eastAsia="方正仿宋简体" w:cs="方正仿宋简体"/>
                <w:color w:val="auto"/>
                <w:kern w:val="0"/>
                <w:sz w:val="24"/>
                <w:szCs w:val="24"/>
                <w:highlight w:val="none"/>
                <w:lang w:eastAsia="zh-CN"/>
              </w:rPr>
              <w:t>分。</w:t>
            </w:r>
          </w:p>
        </w:tc>
        <w:tc>
          <w:tcPr>
            <w:tcW w:w="9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E7ED5A5">
            <w:pPr>
              <w:spacing w:line="360" w:lineRule="exact"/>
              <w:jc w:val="center"/>
              <w:rPr>
                <w:rFonts w:hint="eastAsia" w:ascii="方正仿宋简体" w:hAnsi="方正仿宋简体" w:eastAsia="方正仿宋简体" w:cs="方正仿宋简体"/>
                <w:color w:val="auto"/>
                <w:kern w:val="0"/>
                <w:sz w:val="24"/>
                <w:szCs w:val="24"/>
                <w:highlight w:val="none"/>
              </w:rPr>
            </w:pPr>
          </w:p>
          <w:p w14:paraId="3CCA325E">
            <w:pPr>
              <w:spacing w:line="360" w:lineRule="exact"/>
              <w:jc w:val="center"/>
              <w:rPr>
                <w:rFonts w:hint="eastAsia" w:ascii="方正仿宋简体" w:hAnsi="方正仿宋简体" w:eastAsia="方正仿宋简体" w:cs="方正仿宋简体"/>
                <w:color w:val="auto"/>
                <w:kern w:val="0"/>
                <w:sz w:val="24"/>
                <w:szCs w:val="24"/>
                <w:highlight w:val="none"/>
                <w:lang w:eastAsia="zh-CN"/>
              </w:rPr>
            </w:pPr>
            <w:r>
              <w:rPr>
                <w:rFonts w:hint="eastAsia" w:ascii="方正仿宋简体" w:hAnsi="方正仿宋简体" w:eastAsia="方正仿宋简体" w:cs="方正仿宋简体"/>
                <w:color w:val="auto"/>
                <w:kern w:val="0"/>
                <w:sz w:val="24"/>
                <w:szCs w:val="24"/>
                <w:highlight w:val="none"/>
                <w:lang w:val="en-US" w:eastAsia="zh-CN"/>
              </w:rPr>
              <w:t>6</w:t>
            </w:r>
          </w:p>
        </w:tc>
        <w:tc>
          <w:tcPr>
            <w:tcW w:w="374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4E11FEDD">
            <w:pPr>
              <w:spacing w:line="360" w:lineRule="exact"/>
              <w:rPr>
                <w:rFonts w:hint="eastAsia" w:ascii="方正仿宋简体" w:hAnsi="方正仿宋简体" w:eastAsia="方正仿宋简体" w:cs="方正仿宋简体"/>
                <w:color w:val="auto"/>
                <w:kern w:val="0"/>
                <w:sz w:val="24"/>
                <w:szCs w:val="24"/>
                <w:highlight w:val="none"/>
                <w:lang w:val="en-US" w:eastAsia="zh-CN"/>
              </w:rPr>
            </w:pPr>
            <w:r>
              <w:rPr>
                <w:rFonts w:hint="eastAsia" w:ascii="方正仿宋简体" w:hAnsi="方正仿宋简体" w:eastAsia="方正仿宋简体" w:cs="方正仿宋简体"/>
                <w:color w:val="auto"/>
                <w:kern w:val="0"/>
                <w:sz w:val="24"/>
                <w:szCs w:val="24"/>
                <w:highlight w:val="none"/>
                <w:lang w:val="en-US" w:eastAsia="zh-CN" w:bidi="ar-SA"/>
              </w:rPr>
              <w:t>中心“马群满庭芳”项目以服务马群街道为核心，围绕女性成长全链条，系统开发十大精品课程，内容涵盖思想淬炼、权益维护、家风建设及文化浸润等关键领域；深化分析女性需求，组织各类培训、沙龙</w:t>
            </w:r>
            <w:r>
              <w:rPr>
                <w:rFonts w:hint="eastAsia" w:ascii="方正仿宋简体" w:hAnsi="方正仿宋简体" w:eastAsia="方正仿宋简体" w:cs="方正仿宋简体"/>
                <w:color w:val="auto"/>
                <w:sz w:val="24"/>
                <w:szCs w:val="24"/>
                <w:highlight w:val="none"/>
              </w:rPr>
              <w:t>邀请业内知名专家学者、行业精英</w:t>
            </w:r>
            <w:r>
              <w:rPr>
                <w:rFonts w:hint="eastAsia" w:ascii="方正仿宋简体" w:hAnsi="方正仿宋简体" w:eastAsia="方正仿宋简体" w:cs="方正仿宋简体"/>
                <w:color w:val="auto"/>
                <w:sz w:val="24"/>
                <w:szCs w:val="24"/>
                <w:highlight w:val="none"/>
                <w:lang w:eastAsia="zh-CN"/>
              </w:rPr>
              <w:t>，</w:t>
            </w:r>
            <w:r>
              <w:rPr>
                <w:rFonts w:hint="eastAsia" w:ascii="方正仿宋简体" w:hAnsi="方正仿宋简体" w:eastAsia="方正仿宋简体" w:cs="方正仿宋简体"/>
                <w:color w:val="auto"/>
                <w:sz w:val="24"/>
                <w:szCs w:val="24"/>
                <w:highlight w:val="none"/>
              </w:rPr>
              <w:t>分享知识体验美好</w:t>
            </w:r>
            <w:r>
              <w:rPr>
                <w:rFonts w:hint="eastAsia" w:ascii="方正仿宋简体" w:hAnsi="方正仿宋简体" w:eastAsia="方正仿宋简体" w:cs="方正仿宋简体"/>
                <w:color w:val="auto"/>
                <w:sz w:val="24"/>
                <w:szCs w:val="24"/>
                <w:highlight w:val="none"/>
                <w:lang w:eastAsia="zh-CN"/>
              </w:rPr>
              <w:t>，</w:t>
            </w:r>
            <w:r>
              <w:rPr>
                <w:rFonts w:hint="eastAsia" w:ascii="方正仿宋简体" w:hAnsi="方正仿宋简体" w:eastAsia="方正仿宋简体" w:cs="方正仿宋简体"/>
                <w:color w:val="auto"/>
                <w:sz w:val="24"/>
                <w:szCs w:val="24"/>
                <w:highlight w:val="none"/>
                <w:lang w:val="en-US" w:eastAsia="zh-CN"/>
              </w:rPr>
              <w:t>全年服务人</w:t>
            </w:r>
            <w:r>
              <w:rPr>
                <w:rFonts w:hint="eastAsia" w:ascii="方正仿宋简体" w:hAnsi="方正仿宋简体" w:eastAsia="方正仿宋简体" w:cs="方正仿宋简体"/>
                <w:color w:val="auto"/>
                <w:sz w:val="24"/>
                <w:szCs w:val="24"/>
                <w:highlight w:val="none"/>
              </w:rPr>
              <w:t>次达到</w:t>
            </w:r>
            <w:r>
              <w:rPr>
                <w:rFonts w:hint="eastAsia" w:ascii="方正仿宋简体" w:hAnsi="方正仿宋简体" w:eastAsia="方正仿宋简体" w:cs="方正仿宋简体"/>
                <w:color w:val="auto"/>
                <w:sz w:val="24"/>
                <w:szCs w:val="24"/>
                <w:highlight w:val="none"/>
                <w:lang w:val="en-US" w:eastAsia="zh-CN"/>
              </w:rPr>
              <w:t>1341</w:t>
            </w:r>
            <w:r>
              <w:rPr>
                <w:rFonts w:hint="eastAsia" w:ascii="方正仿宋简体" w:hAnsi="方正仿宋简体" w:eastAsia="方正仿宋简体" w:cs="方正仿宋简体"/>
                <w:color w:val="auto"/>
                <w:sz w:val="24"/>
                <w:szCs w:val="24"/>
                <w:highlight w:val="none"/>
              </w:rPr>
              <w:t>人</w:t>
            </w:r>
            <w:r>
              <w:rPr>
                <w:rFonts w:hint="eastAsia" w:ascii="方正仿宋简体" w:hAnsi="方正仿宋简体" w:eastAsia="方正仿宋简体" w:cs="方正仿宋简体"/>
                <w:color w:val="auto"/>
                <w:sz w:val="24"/>
                <w:szCs w:val="24"/>
                <w:highlight w:val="none"/>
                <w:lang w:eastAsia="zh-CN"/>
              </w:rPr>
              <w:t>。</w:t>
            </w:r>
          </w:p>
        </w:tc>
      </w:tr>
      <w:tr w14:paraId="736B9534">
        <w:tblPrEx>
          <w:shd w:val="clear" w:color="auto" w:fill="auto"/>
          <w:tblCellMar>
            <w:top w:w="0" w:type="dxa"/>
            <w:left w:w="108" w:type="dxa"/>
            <w:bottom w:w="0" w:type="dxa"/>
            <w:right w:w="108" w:type="dxa"/>
          </w:tblCellMar>
        </w:tblPrEx>
        <w:trPr>
          <w:trHeight w:val="90" w:hRule="atLeast"/>
          <w:jc w:val="center"/>
        </w:trPr>
        <w:tc>
          <w:tcPr>
            <w:tcW w:w="1181" w:type="dxa"/>
            <w:tcBorders>
              <w:left w:val="single" w:color="auto" w:sz="4" w:space="0"/>
              <w:right w:val="single" w:color="auto" w:sz="4" w:space="0"/>
            </w:tcBorders>
            <w:shd w:val="clear" w:color="auto" w:fill="auto"/>
            <w:noWrap w:val="0"/>
            <w:vAlign w:val="center"/>
          </w:tcPr>
          <w:p w14:paraId="37728F8C">
            <w:pPr>
              <w:spacing w:line="36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C部门履职（40分）</w:t>
            </w:r>
          </w:p>
        </w:tc>
        <w:tc>
          <w:tcPr>
            <w:tcW w:w="1216" w:type="dxa"/>
            <w:vMerge w:val="continue"/>
            <w:tcBorders>
              <w:left w:val="single" w:color="auto" w:sz="4" w:space="0"/>
              <w:right w:val="single" w:color="auto" w:sz="4" w:space="0"/>
            </w:tcBorders>
            <w:shd w:val="clear" w:color="auto" w:fill="auto"/>
            <w:noWrap w:val="0"/>
            <w:vAlign w:val="center"/>
          </w:tcPr>
          <w:p w14:paraId="53EA7E97">
            <w:pPr>
              <w:spacing w:line="360" w:lineRule="exact"/>
              <w:jc w:val="left"/>
              <w:rPr>
                <w:rFonts w:hint="eastAsia" w:ascii="方正仿宋简体" w:hAnsi="方正仿宋简体" w:eastAsia="方正仿宋简体" w:cs="方正仿宋简体"/>
                <w:color w:val="auto"/>
                <w:kern w:val="0"/>
                <w:sz w:val="24"/>
                <w:szCs w:val="24"/>
                <w:highlight w:val="none"/>
              </w:rPr>
            </w:pPr>
          </w:p>
        </w:tc>
        <w:tc>
          <w:tcPr>
            <w:tcW w:w="14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288A36B">
            <w:pPr>
              <w:spacing w:line="36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C22以“理论性、实操性、体验性”为原则，开展家教、家风等家庭教育指导服务</w:t>
            </w:r>
          </w:p>
        </w:tc>
        <w:tc>
          <w:tcPr>
            <w:tcW w:w="655" w:type="dxa"/>
            <w:tcBorders>
              <w:top w:val="single" w:color="auto" w:sz="4" w:space="0"/>
              <w:left w:val="nil"/>
              <w:bottom w:val="single" w:color="auto" w:sz="4" w:space="0"/>
              <w:right w:val="single" w:color="auto" w:sz="4" w:space="0"/>
            </w:tcBorders>
            <w:shd w:val="clear" w:color="auto" w:fill="auto"/>
            <w:noWrap/>
            <w:vAlign w:val="center"/>
          </w:tcPr>
          <w:p w14:paraId="60137B52">
            <w:pPr>
              <w:spacing w:line="360" w:lineRule="exact"/>
              <w:jc w:val="center"/>
              <w:rPr>
                <w:rFonts w:hint="eastAsia" w:ascii="方正仿宋简体" w:hAnsi="方正仿宋简体" w:eastAsia="方正仿宋简体" w:cs="方正仿宋简体"/>
                <w:color w:val="auto"/>
                <w:kern w:val="0"/>
                <w:sz w:val="24"/>
                <w:szCs w:val="24"/>
                <w:highlight w:val="none"/>
                <w:lang w:eastAsia="zh-CN"/>
              </w:rPr>
            </w:pPr>
            <w:r>
              <w:rPr>
                <w:rFonts w:hint="eastAsia" w:ascii="方正仿宋简体" w:hAnsi="方正仿宋简体" w:eastAsia="方正仿宋简体" w:cs="方正仿宋简体"/>
                <w:color w:val="auto"/>
                <w:kern w:val="0"/>
                <w:sz w:val="24"/>
                <w:szCs w:val="24"/>
                <w:highlight w:val="none"/>
                <w:lang w:val="en-US" w:eastAsia="zh-CN"/>
              </w:rPr>
              <w:t>6</w:t>
            </w:r>
          </w:p>
        </w:tc>
        <w:tc>
          <w:tcPr>
            <w:tcW w:w="1112" w:type="dxa"/>
            <w:tcBorders>
              <w:top w:val="single" w:color="auto" w:sz="4" w:space="0"/>
              <w:left w:val="nil"/>
              <w:bottom w:val="single" w:color="auto" w:sz="4" w:space="0"/>
              <w:right w:val="single" w:color="auto" w:sz="4" w:space="0"/>
            </w:tcBorders>
            <w:shd w:val="clear" w:color="auto" w:fill="auto"/>
            <w:noWrap/>
            <w:vAlign w:val="center"/>
          </w:tcPr>
          <w:p w14:paraId="283418DA">
            <w:pPr>
              <w:spacing w:line="360" w:lineRule="exact"/>
              <w:jc w:val="center"/>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w:t>
            </w:r>
            <w:r>
              <w:rPr>
                <w:rFonts w:hint="eastAsia" w:ascii="方正仿宋简体" w:hAnsi="方正仿宋简体" w:eastAsia="方正仿宋简体" w:cs="方正仿宋简体"/>
                <w:color w:val="auto"/>
                <w:kern w:val="0"/>
                <w:sz w:val="24"/>
                <w:szCs w:val="24"/>
                <w:highlight w:val="none"/>
                <w:lang w:val="en-US" w:eastAsia="zh-CN"/>
              </w:rPr>
              <w:t>1000</w:t>
            </w:r>
            <w:r>
              <w:rPr>
                <w:rFonts w:hint="eastAsia" w:ascii="方正仿宋简体" w:hAnsi="方正仿宋简体" w:eastAsia="方正仿宋简体" w:cs="方正仿宋简体"/>
                <w:color w:val="auto"/>
                <w:kern w:val="0"/>
                <w:sz w:val="24"/>
                <w:szCs w:val="24"/>
                <w:highlight w:val="none"/>
              </w:rPr>
              <w:t>人次</w:t>
            </w:r>
          </w:p>
        </w:tc>
        <w:tc>
          <w:tcPr>
            <w:tcW w:w="2589" w:type="dxa"/>
            <w:tcBorders>
              <w:top w:val="single" w:color="auto" w:sz="4" w:space="0"/>
              <w:left w:val="nil"/>
              <w:bottom w:val="single" w:color="auto" w:sz="4" w:space="0"/>
              <w:right w:val="single" w:color="auto" w:sz="4" w:space="0"/>
            </w:tcBorders>
            <w:shd w:val="clear" w:color="auto" w:fill="auto"/>
            <w:noWrap w:val="0"/>
            <w:vAlign w:val="center"/>
          </w:tcPr>
          <w:p w14:paraId="27B16ABB">
            <w:pPr>
              <w:spacing w:line="360" w:lineRule="exact"/>
              <w:ind w:firstLine="240" w:firstLineChars="100"/>
              <w:rPr>
                <w:rFonts w:hint="eastAsia" w:ascii="方正仿宋简体" w:hAnsi="方正仿宋简体" w:eastAsia="方正仿宋简体" w:cs="方正仿宋简体"/>
                <w:color w:val="auto"/>
                <w:kern w:val="0"/>
                <w:sz w:val="24"/>
                <w:szCs w:val="24"/>
                <w:highlight w:val="none"/>
              </w:rPr>
            </w:pPr>
          </w:p>
          <w:p w14:paraId="77F61A1C">
            <w:pPr>
              <w:spacing w:line="360" w:lineRule="exac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lang w:eastAsia="zh-CN"/>
              </w:rPr>
              <w:t>主要考核</w:t>
            </w:r>
            <w:r>
              <w:rPr>
                <w:rFonts w:hint="eastAsia" w:ascii="方正仿宋简体" w:hAnsi="方正仿宋简体" w:eastAsia="方正仿宋简体" w:cs="方正仿宋简体"/>
                <w:color w:val="auto"/>
                <w:kern w:val="0"/>
                <w:sz w:val="24"/>
                <w:szCs w:val="24"/>
                <w:highlight w:val="none"/>
                <w:lang w:val="en-US" w:eastAsia="zh-CN"/>
              </w:rPr>
              <w:t>根据</w:t>
            </w:r>
            <w:r>
              <w:rPr>
                <w:rFonts w:hint="eastAsia" w:ascii="方正仿宋简体" w:hAnsi="方正仿宋简体" w:eastAsia="方正仿宋简体" w:cs="方正仿宋简体"/>
                <w:color w:val="auto"/>
                <w:sz w:val="24"/>
                <w:szCs w:val="24"/>
                <w:highlight w:val="none"/>
              </w:rPr>
              <w:t>家庭教育新需求，</w:t>
            </w:r>
            <w:r>
              <w:rPr>
                <w:rFonts w:hint="eastAsia" w:ascii="方正仿宋简体" w:hAnsi="方正仿宋简体" w:eastAsia="方正仿宋简体" w:cs="方正仿宋简体"/>
                <w:color w:val="auto"/>
                <w:sz w:val="24"/>
                <w:szCs w:val="24"/>
                <w:highlight w:val="none"/>
                <w:lang w:val="en-US" w:eastAsia="zh-CN"/>
              </w:rPr>
              <w:t>完善中心家庭指导服务体系，完善</w:t>
            </w:r>
            <w:r>
              <w:rPr>
                <w:rFonts w:hint="eastAsia" w:ascii="方正仿宋简体" w:hAnsi="方正仿宋简体" w:eastAsia="方正仿宋简体" w:cs="方正仿宋简体"/>
                <w:color w:val="auto"/>
                <w:sz w:val="24"/>
                <w:szCs w:val="24"/>
                <w:highlight w:val="none"/>
              </w:rPr>
              <w:t>校家社协同共育机制</w:t>
            </w:r>
            <w:r>
              <w:rPr>
                <w:rFonts w:hint="eastAsia" w:ascii="方正仿宋简体" w:hAnsi="方正仿宋简体" w:eastAsia="方正仿宋简体" w:cs="方正仿宋简体"/>
                <w:color w:val="auto"/>
                <w:sz w:val="24"/>
                <w:szCs w:val="24"/>
                <w:highlight w:val="none"/>
                <w:lang w:eastAsia="zh-CN"/>
              </w:rPr>
              <w:t>的服务及课程普及情况</w:t>
            </w:r>
          </w:p>
        </w:tc>
        <w:tc>
          <w:tcPr>
            <w:tcW w:w="2160" w:type="dxa"/>
            <w:tcBorders>
              <w:top w:val="single" w:color="auto" w:sz="4" w:space="0"/>
              <w:left w:val="nil"/>
              <w:bottom w:val="single" w:color="auto" w:sz="4" w:space="0"/>
              <w:right w:val="single" w:color="auto" w:sz="4" w:space="0"/>
            </w:tcBorders>
            <w:shd w:val="clear" w:color="auto" w:fill="auto"/>
            <w:noWrap w:val="0"/>
            <w:vAlign w:val="center"/>
          </w:tcPr>
          <w:p w14:paraId="58B631AD">
            <w:pPr>
              <w:spacing w:line="360" w:lineRule="exact"/>
              <w:rPr>
                <w:rFonts w:hint="default" w:ascii="方正仿宋简体" w:hAnsi="方正仿宋简体" w:eastAsia="方正仿宋简体" w:cs="方正仿宋简体"/>
                <w:color w:val="auto"/>
                <w:kern w:val="0"/>
                <w:sz w:val="24"/>
                <w:szCs w:val="24"/>
                <w:highlight w:val="none"/>
                <w:lang w:val="en-US" w:eastAsia="zh-CN"/>
              </w:rPr>
            </w:pPr>
            <w:r>
              <w:rPr>
                <w:rFonts w:hint="eastAsia" w:ascii="方正仿宋简体" w:hAnsi="方正仿宋简体" w:eastAsia="方正仿宋简体" w:cs="方正仿宋简体"/>
                <w:color w:val="auto"/>
                <w:kern w:val="0"/>
                <w:sz w:val="24"/>
                <w:szCs w:val="24"/>
                <w:highlight w:val="none"/>
              </w:rPr>
              <w:t>1、家庭教育品牌活动</w:t>
            </w:r>
            <w:r>
              <w:rPr>
                <w:rFonts w:hint="eastAsia" w:ascii="方正仿宋简体" w:hAnsi="方正仿宋简体" w:eastAsia="方正仿宋简体" w:cs="方正仿宋简体"/>
                <w:color w:val="auto"/>
                <w:kern w:val="0"/>
                <w:sz w:val="24"/>
                <w:szCs w:val="24"/>
                <w:highlight w:val="none"/>
                <w:shd w:val="clear"/>
              </w:rPr>
              <w:t>服务</w:t>
            </w:r>
            <w:r>
              <w:rPr>
                <w:rFonts w:hint="eastAsia" w:ascii="方正仿宋简体" w:hAnsi="方正仿宋简体" w:eastAsia="方正仿宋简体" w:cs="方正仿宋简体"/>
                <w:color w:val="auto"/>
                <w:kern w:val="0"/>
                <w:sz w:val="24"/>
                <w:szCs w:val="24"/>
                <w:highlight w:val="none"/>
                <w:shd w:val="clear"/>
                <w:lang w:val="en-US" w:eastAsia="zh-CN"/>
              </w:rPr>
              <w:t>全年参与1000</w:t>
            </w:r>
            <w:r>
              <w:rPr>
                <w:rFonts w:hint="eastAsia" w:ascii="方正仿宋简体" w:hAnsi="方正仿宋简体" w:eastAsia="方正仿宋简体" w:cs="方正仿宋简体"/>
                <w:color w:val="auto"/>
                <w:kern w:val="0"/>
                <w:sz w:val="24"/>
                <w:szCs w:val="24"/>
                <w:highlight w:val="none"/>
                <w:shd w:val="clear"/>
              </w:rPr>
              <w:t>人次</w:t>
            </w:r>
            <w:r>
              <w:rPr>
                <w:rFonts w:hint="eastAsia" w:ascii="方正仿宋简体" w:hAnsi="方正仿宋简体" w:eastAsia="方正仿宋简体" w:cs="方正仿宋简体"/>
                <w:color w:val="auto"/>
                <w:kern w:val="0"/>
                <w:sz w:val="24"/>
                <w:szCs w:val="24"/>
                <w:highlight w:val="none"/>
                <w:lang w:val="en-US" w:eastAsia="zh-CN"/>
              </w:rPr>
              <w:t>以上得3分；2、有效开展品牌讲座活动，提升服务质量得3分。</w:t>
            </w:r>
          </w:p>
        </w:tc>
        <w:tc>
          <w:tcPr>
            <w:tcW w:w="900" w:type="dxa"/>
            <w:tcBorders>
              <w:top w:val="single" w:color="auto" w:sz="4" w:space="0"/>
              <w:left w:val="nil"/>
              <w:bottom w:val="single" w:color="auto" w:sz="4" w:space="0"/>
              <w:right w:val="single" w:color="auto" w:sz="4" w:space="0"/>
            </w:tcBorders>
            <w:shd w:val="clear" w:color="auto" w:fill="auto"/>
            <w:noWrap w:val="0"/>
            <w:vAlign w:val="center"/>
          </w:tcPr>
          <w:p w14:paraId="324A9685">
            <w:pPr>
              <w:spacing w:line="360" w:lineRule="exact"/>
              <w:jc w:val="center"/>
              <w:rPr>
                <w:rFonts w:hint="eastAsia" w:ascii="方正仿宋简体" w:hAnsi="方正仿宋简体" w:eastAsia="方正仿宋简体" w:cs="方正仿宋简体"/>
                <w:color w:val="auto"/>
                <w:kern w:val="0"/>
                <w:sz w:val="24"/>
                <w:szCs w:val="24"/>
                <w:highlight w:val="none"/>
                <w:lang w:eastAsia="zh-CN"/>
              </w:rPr>
            </w:pPr>
            <w:r>
              <w:rPr>
                <w:rFonts w:hint="eastAsia" w:ascii="方正仿宋简体" w:hAnsi="方正仿宋简体" w:eastAsia="方正仿宋简体" w:cs="方正仿宋简体"/>
                <w:color w:val="auto"/>
                <w:kern w:val="0"/>
                <w:sz w:val="24"/>
                <w:szCs w:val="24"/>
                <w:highlight w:val="none"/>
                <w:lang w:val="en-US" w:eastAsia="zh-CN"/>
              </w:rPr>
              <w:t>6</w:t>
            </w:r>
          </w:p>
        </w:tc>
        <w:tc>
          <w:tcPr>
            <w:tcW w:w="3741" w:type="dxa"/>
            <w:gridSpan w:val="2"/>
            <w:tcBorders>
              <w:top w:val="single" w:color="auto" w:sz="4" w:space="0"/>
              <w:left w:val="nil"/>
              <w:bottom w:val="single" w:color="auto" w:sz="4" w:space="0"/>
              <w:right w:val="single" w:color="auto" w:sz="4" w:space="0"/>
            </w:tcBorders>
            <w:shd w:val="clear" w:color="auto" w:fill="auto"/>
            <w:noWrap w:val="0"/>
            <w:vAlign w:val="center"/>
          </w:tcPr>
          <w:p w14:paraId="5E0F2899">
            <w:pPr>
              <w:spacing w:line="360" w:lineRule="exact"/>
              <w:rPr>
                <w:rFonts w:hint="eastAsia" w:ascii="方正仿宋简体" w:hAnsi="方正仿宋简体" w:eastAsia="方正仿宋简体" w:cs="方正仿宋简体"/>
                <w:color w:val="auto"/>
                <w:kern w:val="0"/>
                <w:sz w:val="24"/>
                <w:szCs w:val="24"/>
                <w:highlight w:val="none"/>
                <w:lang w:val="en-US" w:eastAsia="zh-CN" w:bidi="ar-SA"/>
              </w:rPr>
            </w:pPr>
            <w:r>
              <w:rPr>
                <w:rFonts w:hint="eastAsia" w:ascii="方正仿宋简体" w:hAnsi="方正仿宋简体" w:eastAsia="方正仿宋简体" w:cs="方正仿宋简体"/>
                <w:color w:val="auto"/>
                <w:kern w:val="0"/>
                <w:sz w:val="24"/>
                <w:szCs w:val="24"/>
                <w:highlight w:val="none"/>
                <w:lang w:val="en-US" w:eastAsia="zh-CN" w:bidi="ar-SA"/>
              </w:rPr>
              <w:t>2025年，中心全年组织“宁家美・慧学江北”“市妇联家教指导大巡讲”等家庭教育指导活动124场，服务人次5816人；服务人群满意度95%。</w:t>
            </w:r>
          </w:p>
          <w:p w14:paraId="14CCC692">
            <w:pPr>
              <w:spacing w:line="360" w:lineRule="exact"/>
              <w:rPr>
                <w:rFonts w:hint="eastAsia" w:ascii="方正仿宋简体" w:hAnsi="方正仿宋简体" w:eastAsia="方正仿宋简体" w:cs="方正仿宋简体"/>
                <w:color w:val="auto"/>
                <w:kern w:val="0"/>
                <w:sz w:val="24"/>
                <w:szCs w:val="24"/>
                <w:highlight w:val="none"/>
                <w:lang w:val="en-US" w:eastAsia="zh-CN" w:bidi="ar-SA"/>
              </w:rPr>
            </w:pPr>
          </w:p>
        </w:tc>
      </w:tr>
      <w:tr w14:paraId="2DDD5D29">
        <w:tblPrEx>
          <w:shd w:val="clear" w:color="auto" w:fill="auto"/>
          <w:tblCellMar>
            <w:top w:w="0" w:type="dxa"/>
            <w:left w:w="108" w:type="dxa"/>
            <w:bottom w:w="0" w:type="dxa"/>
            <w:right w:w="108" w:type="dxa"/>
          </w:tblCellMar>
        </w:tblPrEx>
        <w:trPr>
          <w:trHeight w:val="3045" w:hRule="atLeast"/>
          <w:jc w:val="center"/>
        </w:trPr>
        <w:tc>
          <w:tcPr>
            <w:tcW w:w="1181" w:type="dxa"/>
            <w:vMerge w:val="restart"/>
            <w:tcBorders>
              <w:top w:val="single" w:color="auto" w:sz="4" w:space="0"/>
              <w:left w:val="single" w:color="auto" w:sz="4" w:space="0"/>
              <w:right w:val="single" w:color="auto" w:sz="4" w:space="0"/>
            </w:tcBorders>
            <w:shd w:val="clear" w:color="auto" w:fill="auto"/>
            <w:noWrap w:val="0"/>
            <w:vAlign w:val="center"/>
          </w:tcPr>
          <w:p w14:paraId="7BC0E61F">
            <w:pPr>
              <w:spacing w:line="36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C部门履职（40分）</w:t>
            </w:r>
          </w:p>
        </w:tc>
        <w:tc>
          <w:tcPr>
            <w:tcW w:w="1216" w:type="dxa"/>
            <w:vMerge w:val="restart"/>
            <w:tcBorders>
              <w:top w:val="single" w:color="auto" w:sz="4" w:space="0"/>
              <w:left w:val="single" w:color="auto" w:sz="4" w:space="0"/>
              <w:right w:val="single" w:color="auto" w:sz="4" w:space="0"/>
            </w:tcBorders>
            <w:shd w:val="clear" w:color="auto" w:fill="auto"/>
            <w:noWrap w:val="0"/>
            <w:vAlign w:val="center"/>
          </w:tcPr>
          <w:p w14:paraId="1B4B07C5">
            <w:pPr>
              <w:spacing w:line="36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C3持续打造各类品牌展演赛活动，加强综合性公益社团建设，进一步提升中心区域影响力，为广大少年儿童提供展示平台。（</w:t>
            </w:r>
            <w:r>
              <w:rPr>
                <w:rFonts w:hint="eastAsia" w:ascii="方正仿宋简体" w:hAnsi="方正仿宋简体" w:eastAsia="方正仿宋简体" w:cs="方正仿宋简体"/>
                <w:color w:val="auto"/>
                <w:kern w:val="0"/>
                <w:sz w:val="24"/>
                <w:szCs w:val="24"/>
                <w:highlight w:val="none"/>
                <w:lang w:val="en-US" w:eastAsia="zh-CN"/>
              </w:rPr>
              <w:t>12</w:t>
            </w:r>
            <w:r>
              <w:rPr>
                <w:rFonts w:hint="eastAsia" w:ascii="方正仿宋简体" w:hAnsi="方正仿宋简体" w:eastAsia="方正仿宋简体" w:cs="方正仿宋简体"/>
                <w:color w:val="auto"/>
                <w:kern w:val="0"/>
                <w:sz w:val="24"/>
                <w:szCs w:val="24"/>
                <w:highlight w:val="none"/>
              </w:rPr>
              <w:t>分）</w:t>
            </w:r>
          </w:p>
        </w:tc>
        <w:tc>
          <w:tcPr>
            <w:tcW w:w="14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D75793C">
            <w:pPr>
              <w:spacing w:line="36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C31综合建设、完善品牌公益社团体系，助力少年儿童综合发展</w:t>
            </w:r>
          </w:p>
        </w:tc>
        <w:tc>
          <w:tcPr>
            <w:tcW w:w="655" w:type="dxa"/>
            <w:tcBorders>
              <w:top w:val="single" w:color="auto" w:sz="4" w:space="0"/>
              <w:left w:val="nil"/>
              <w:bottom w:val="single" w:color="auto" w:sz="4" w:space="0"/>
              <w:right w:val="single" w:color="auto" w:sz="4" w:space="0"/>
            </w:tcBorders>
            <w:shd w:val="clear" w:color="auto" w:fill="auto"/>
            <w:noWrap/>
            <w:vAlign w:val="center"/>
          </w:tcPr>
          <w:p w14:paraId="0EC00F78">
            <w:pPr>
              <w:pStyle w:val="31"/>
              <w:widowControl/>
              <w:kinsoku w:val="0"/>
              <w:autoSpaceDE w:val="0"/>
              <w:autoSpaceDN w:val="0"/>
              <w:adjustRightInd w:val="0"/>
              <w:snapToGrid w:val="0"/>
              <w:spacing w:line="300" w:lineRule="exact"/>
              <w:jc w:val="center"/>
              <w:textAlignment w:val="baseline"/>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lang w:val="en-US" w:eastAsia="zh-CN"/>
              </w:rPr>
              <w:t>3</w:t>
            </w:r>
          </w:p>
        </w:tc>
        <w:tc>
          <w:tcPr>
            <w:tcW w:w="1112" w:type="dxa"/>
            <w:tcBorders>
              <w:top w:val="single" w:color="auto" w:sz="4" w:space="0"/>
              <w:left w:val="nil"/>
              <w:bottom w:val="single" w:color="auto" w:sz="4" w:space="0"/>
              <w:right w:val="single" w:color="auto" w:sz="4" w:space="0"/>
            </w:tcBorders>
            <w:shd w:val="clear" w:color="auto" w:fill="auto"/>
            <w:noWrap/>
            <w:vAlign w:val="center"/>
          </w:tcPr>
          <w:p w14:paraId="538B58AE">
            <w:pPr>
              <w:spacing w:line="360" w:lineRule="exact"/>
              <w:jc w:val="center"/>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w:t>
            </w:r>
            <w:r>
              <w:rPr>
                <w:rFonts w:hint="eastAsia" w:ascii="方正仿宋简体" w:hAnsi="方正仿宋简体" w:eastAsia="方正仿宋简体" w:cs="方正仿宋简体"/>
                <w:color w:val="auto"/>
                <w:kern w:val="0"/>
                <w:sz w:val="24"/>
                <w:szCs w:val="24"/>
                <w:highlight w:val="none"/>
                <w:lang w:val="en-US" w:eastAsia="zh-CN"/>
              </w:rPr>
              <w:t>4</w:t>
            </w:r>
            <w:r>
              <w:rPr>
                <w:rFonts w:hint="eastAsia" w:ascii="方正仿宋简体" w:hAnsi="方正仿宋简体" w:eastAsia="方正仿宋简体" w:cs="方正仿宋简体"/>
                <w:color w:val="auto"/>
                <w:kern w:val="0"/>
                <w:sz w:val="24"/>
                <w:szCs w:val="24"/>
                <w:highlight w:val="none"/>
              </w:rPr>
              <w:t>00人次</w:t>
            </w:r>
          </w:p>
        </w:tc>
        <w:tc>
          <w:tcPr>
            <w:tcW w:w="2589" w:type="dxa"/>
            <w:tcBorders>
              <w:top w:val="single" w:color="auto" w:sz="4" w:space="0"/>
              <w:left w:val="nil"/>
              <w:bottom w:val="single" w:color="auto" w:sz="4" w:space="0"/>
              <w:right w:val="single" w:color="auto" w:sz="4" w:space="0"/>
            </w:tcBorders>
            <w:shd w:val="clear" w:color="auto" w:fill="auto"/>
            <w:noWrap w:val="0"/>
            <w:vAlign w:val="center"/>
          </w:tcPr>
          <w:p w14:paraId="65DF6334">
            <w:pPr>
              <w:pStyle w:val="31"/>
              <w:spacing w:before="78" w:line="268" w:lineRule="auto"/>
              <w:ind w:right="292"/>
              <w:rPr>
                <w:rFonts w:hint="eastAsia" w:ascii="方正仿宋简体" w:hAnsi="方正仿宋简体" w:eastAsia="方正仿宋简体" w:cs="方正仿宋简体"/>
                <w:color w:val="auto"/>
                <w:kern w:val="0"/>
                <w:sz w:val="24"/>
                <w:szCs w:val="24"/>
                <w:highlight w:val="none"/>
                <w:lang w:eastAsia="zh-CN"/>
              </w:rPr>
            </w:pPr>
            <w:r>
              <w:rPr>
                <w:rFonts w:hint="eastAsia" w:ascii="方正仿宋简体" w:hAnsi="方正仿宋简体" w:eastAsia="方正仿宋简体" w:cs="方正仿宋简体"/>
                <w:color w:val="auto"/>
                <w:spacing w:val="7"/>
                <w:sz w:val="24"/>
                <w:szCs w:val="24"/>
                <w:highlight w:val="none"/>
              </w:rPr>
              <w:t>主要考核中心公益社团的组织建设情况</w:t>
            </w:r>
          </w:p>
        </w:tc>
        <w:tc>
          <w:tcPr>
            <w:tcW w:w="2160" w:type="dxa"/>
            <w:tcBorders>
              <w:top w:val="single" w:color="auto" w:sz="4" w:space="0"/>
              <w:left w:val="nil"/>
              <w:bottom w:val="single" w:color="auto" w:sz="4" w:space="0"/>
              <w:right w:val="single" w:color="auto" w:sz="4" w:space="0"/>
            </w:tcBorders>
            <w:shd w:val="clear" w:color="auto" w:fill="auto"/>
            <w:noWrap w:val="0"/>
            <w:vAlign w:val="center"/>
          </w:tcPr>
          <w:p w14:paraId="3E8FB459">
            <w:pPr>
              <w:pStyle w:val="31"/>
              <w:spacing w:before="78" w:line="264" w:lineRule="auto"/>
              <w:ind w:right="128"/>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lang w:eastAsia="zh-CN"/>
              </w:rPr>
              <w:t>全年参与</w:t>
            </w:r>
            <w:r>
              <w:rPr>
                <w:rFonts w:hint="eastAsia" w:ascii="方正仿宋简体" w:hAnsi="方正仿宋简体" w:eastAsia="方正仿宋简体" w:cs="方正仿宋简体"/>
                <w:color w:val="auto"/>
                <w:kern w:val="0"/>
                <w:sz w:val="24"/>
                <w:szCs w:val="24"/>
                <w:highlight w:val="none"/>
                <w:lang w:val="en-US" w:eastAsia="zh-CN"/>
              </w:rPr>
              <w:t>公益社团培训</w:t>
            </w:r>
            <w:r>
              <w:rPr>
                <w:rFonts w:hint="eastAsia" w:ascii="方正仿宋简体" w:hAnsi="方正仿宋简体" w:eastAsia="方正仿宋简体" w:cs="方正仿宋简体"/>
                <w:color w:val="auto"/>
                <w:kern w:val="0"/>
                <w:sz w:val="24"/>
                <w:szCs w:val="24"/>
                <w:highlight w:val="none"/>
                <w:lang w:eastAsia="zh-CN"/>
              </w:rPr>
              <w:t>人次大于</w:t>
            </w:r>
            <w:r>
              <w:rPr>
                <w:rFonts w:hint="eastAsia" w:ascii="方正仿宋简体" w:hAnsi="方正仿宋简体" w:eastAsia="方正仿宋简体" w:cs="方正仿宋简体"/>
                <w:color w:val="auto"/>
                <w:kern w:val="0"/>
                <w:sz w:val="24"/>
                <w:szCs w:val="24"/>
                <w:highlight w:val="none"/>
                <w:lang w:val="en-US" w:eastAsia="zh-CN"/>
              </w:rPr>
              <w:t>4</w:t>
            </w:r>
            <w:r>
              <w:rPr>
                <w:rFonts w:hint="eastAsia" w:ascii="方正仿宋简体" w:hAnsi="方正仿宋简体" w:eastAsia="方正仿宋简体" w:cs="方正仿宋简体"/>
                <w:color w:val="auto"/>
                <w:kern w:val="0"/>
                <w:sz w:val="24"/>
                <w:szCs w:val="24"/>
                <w:highlight w:val="none"/>
                <w:lang w:eastAsia="zh-CN"/>
              </w:rPr>
              <w:t>00人次得</w:t>
            </w:r>
            <w:r>
              <w:rPr>
                <w:rFonts w:hint="eastAsia" w:ascii="方正仿宋简体" w:hAnsi="方正仿宋简体" w:eastAsia="方正仿宋简体" w:cs="方正仿宋简体"/>
                <w:color w:val="auto"/>
                <w:kern w:val="0"/>
                <w:sz w:val="24"/>
                <w:szCs w:val="24"/>
                <w:highlight w:val="none"/>
                <w:lang w:val="en-US" w:eastAsia="zh-CN"/>
              </w:rPr>
              <w:t>3</w:t>
            </w:r>
            <w:r>
              <w:rPr>
                <w:rFonts w:hint="eastAsia" w:ascii="方正仿宋简体" w:hAnsi="方正仿宋简体" w:eastAsia="方正仿宋简体" w:cs="方正仿宋简体"/>
                <w:color w:val="auto"/>
                <w:kern w:val="0"/>
                <w:sz w:val="24"/>
                <w:szCs w:val="24"/>
                <w:highlight w:val="none"/>
                <w:lang w:eastAsia="zh-CN"/>
              </w:rPr>
              <w:t>分。</w:t>
            </w:r>
          </w:p>
        </w:tc>
        <w:tc>
          <w:tcPr>
            <w:tcW w:w="900" w:type="dxa"/>
            <w:tcBorders>
              <w:top w:val="single" w:color="auto" w:sz="4" w:space="0"/>
              <w:left w:val="nil"/>
              <w:bottom w:val="single" w:color="auto" w:sz="4" w:space="0"/>
              <w:right w:val="single" w:color="auto" w:sz="4" w:space="0"/>
            </w:tcBorders>
            <w:shd w:val="clear" w:color="auto" w:fill="auto"/>
            <w:noWrap w:val="0"/>
            <w:vAlign w:val="center"/>
          </w:tcPr>
          <w:p w14:paraId="4527B334">
            <w:pPr>
              <w:pStyle w:val="31"/>
              <w:widowControl/>
              <w:kinsoku w:val="0"/>
              <w:autoSpaceDE w:val="0"/>
              <w:autoSpaceDN w:val="0"/>
              <w:adjustRightInd w:val="0"/>
              <w:snapToGrid w:val="0"/>
              <w:spacing w:line="300" w:lineRule="exact"/>
              <w:jc w:val="center"/>
              <w:textAlignment w:val="baseline"/>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lang w:val="en-US" w:eastAsia="zh-CN"/>
              </w:rPr>
              <w:t>3</w:t>
            </w:r>
          </w:p>
        </w:tc>
        <w:tc>
          <w:tcPr>
            <w:tcW w:w="3741" w:type="dxa"/>
            <w:gridSpan w:val="2"/>
            <w:tcBorders>
              <w:top w:val="single" w:color="auto" w:sz="4" w:space="0"/>
              <w:left w:val="nil"/>
              <w:bottom w:val="single" w:color="auto" w:sz="4" w:space="0"/>
              <w:right w:val="single" w:color="auto" w:sz="4" w:space="0"/>
            </w:tcBorders>
            <w:shd w:val="clear" w:color="auto" w:fill="auto"/>
            <w:noWrap w:val="0"/>
            <w:vAlign w:val="center"/>
          </w:tcPr>
          <w:p w14:paraId="350E4BB5">
            <w:pPr>
              <w:pStyle w:val="31"/>
              <w:widowControl/>
              <w:kinsoku w:val="0"/>
              <w:autoSpaceDE w:val="0"/>
              <w:autoSpaceDN w:val="0"/>
              <w:adjustRightInd w:val="0"/>
              <w:snapToGrid w:val="0"/>
              <w:spacing w:line="300" w:lineRule="exact"/>
              <w:jc w:val="left"/>
              <w:textAlignment w:val="baseline"/>
              <w:rPr>
                <w:rFonts w:hint="default" w:ascii="方正仿宋简体" w:hAnsi="方正仿宋简体" w:eastAsia="方正仿宋简体" w:cs="方正仿宋简体"/>
                <w:color w:val="auto"/>
                <w:kern w:val="0"/>
                <w:sz w:val="24"/>
                <w:szCs w:val="24"/>
                <w:highlight w:val="none"/>
                <w:lang w:val="en-US"/>
              </w:rPr>
            </w:pPr>
            <w:r>
              <w:rPr>
                <w:rFonts w:hint="eastAsia" w:ascii="方正仿宋简体" w:hAnsi="方正仿宋简体" w:eastAsia="方正仿宋简体" w:cs="方正仿宋简体"/>
                <w:color w:val="auto"/>
                <w:kern w:val="2"/>
                <w:sz w:val="24"/>
                <w:szCs w:val="24"/>
                <w:highlight w:val="none"/>
                <w:lang w:val="en-US" w:eastAsia="zh-CN" w:bidi="ar-SA"/>
              </w:rPr>
              <w:t>加大“紫鲸”少儿合唱团、弦乐团、舞蹈团、科学社等公益社团建设力度，重点加强“紫金草艺术团”建设，全年参加重大活动演出4场；各类公益社团全年培训人次480人。</w:t>
            </w:r>
          </w:p>
        </w:tc>
      </w:tr>
      <w:tr w14:paraId="1CC07D2B">
        <w:tblPrEx>
          <w:shd w:val="clear" w:color="auto" w:fill="auto"/>
          <w:tblCellMar>
            <w:top w:w="0" w:type="dxa"/>
            <w:left w:w="108" w:type="dxa"/>
            <w:bottom w:w="0" w:type="dxa"/>
            <w:right w:w="108" w:type="dxa"/>
          </w:tblCellMar>
        </w:tblPrEx>
        <w:trPr>
          <w:trHeight w:val="2806" w:hRule="atLeast"/>
          <w:jc w:val="center"/>
        </w:trPr>
        <w:tc>
          <w:tcPr>
            <w:tcW w:w="1181" w:type="dxa"/>
            <w:vMerge w:val="continue"/>
            <w:tcBorders>
              <w:left w:val="single" w:color="auto" w:sz="4" w:space="0"/>
              <w:right w:val="single" w:color="auto" w:sz="4" w:space="0"/>
            </w:tcBorders>
            <w:shd w:val="clear" w:color="auto" w:fill="auto"/>
            <w:noWrap w:val="0"/>
            <w:vAlign w:val="center"/>
          </w:tcPr>
          <w:p w14:paraId="7EE80E67">
            <w:pPr>
              <w:spacing w:line="360" w:lineRule="exact"/>
              <w:jc w:val="left"/>
              <w:rPr>
                <w:rFonts w:hint="eastAsia" w:ascii="方正仿宋简体" w:hAnsi="方正仿宋简体" w:eastAsia="方正仿宋简体" w:cs="方正仿宋简体"/>
                <w:color w:val="auto"/>
                <w:kern w:val="0"/>
                <w:sz w:val="24"/>
                <w:szCs w:val="24"/>
                <w:highlight w:val="none"/>
              </w:rPr>
            </w:pPr>
          </w:p>
        </w:tc>
        <w:tc>
          <w:tcPr>
            <w:tcW w:w="1216" w:type="dxa"/>
            <w:vMerge w:val="continue"/>
            <w:tcBorders>
              <w:left w:val="single" w:color="auto" w:sz="4" w:space="0"/>
              <w:bottom w:val="single" w:color="auto" w:sz="4" w:space="0"/>
              <w:right w:val="single" w:color="auto" w:sz="4" w:space="0"/>
            </w:tcBorders>
            <w:shd w:val="clear" w:color="auto" w:fill="auto"/>
            <w:noWrap w:val="0"/>
            <w:vAlign w:val="center"/>
          </w:tcPr>
          <w:p w14:paraId="46D42E2F">
            <w:pPr>
              <w:spacing w:line="360" w:lineRule="exact"/>
              <w:jc w:val="left"/>
              <w:rPr>
                <w:rFonts w:hint="eastAsia" w:ascii="方正仿宋简体" w:hAnsi="方正仿宋简体" w:eastAsia="方正仿宋简体" w:cs="方正仿宋简体"/>
                <w:color w:val="auto"/>
                <w:kern w:val="0"/>
                <w:sz w:val="24"/>
                <w:szCs w:val="24"/>
                <w:highlight w:val="none"/>
              </w:rPr>
            </w:pPr>
          </w:p>
        </w:tc>
        <w:tc>
          <w:tcPr>
            <w:tcW w:w="14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E285C15">
            <w:pPr>
              <w:spacing w:line="36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C3</w:t>
            </w:r>
            <w:r>
              <w:rPr>
                <w:rFonts w:hint="eastAsia" w:ascii="方正仿宋简体" w:hAnsi="方正仿宋简体" w:eastAsia="方正仿宋简体" w:cs="方正仿宋简体"/>
                <w:color w:val="auto"/>
                <w:kern w:val="0"/>
                <w:sz w:val="24"/>
                <w:szCs w:val="24"/>
                <w:highlight w:val="none"/>
                <w:lang w:val="en-US" w:eastAsia="zh-CN"/>
              </w:rPr>
              <w:t>2</w:t>
            </w:r>
            <w:r>
              <w:rPr>
                <w:rFonts w:hint="eastAsia" w:ascii="方正仿宋简体" w:hAnsi="方正仿宋简体" w:eastAsia="方正仿宋简体" w:cs="方正仿宋简体"/>
                <w:color w:val="auto"/>
                <w:kern w:val="0"/>
                <w:sz w:val="24"/>
                <w:szCs w:val="24"/>
                <w:highlight w:val="none"/>
              </w:rPr>
              <w:t>继续开展各类中心核心品牌展演赛活动，为广大少年儿童提供综合性展示平台</w:t>
            </w:r>
          </w:p>
        </w:tc>
        <w:tc>
          <w:tcPr>
            <w:tcW w:w="655" w:type="dxa"/>
            <w:tcBorders>
              <w:top w:val="single" w:color="auto" w:sz="4" w:space="0"/>
              <w:left w:val="nil"/>
              <w:bottom w:val="single" w:color="auto" w:sz="4" w:space="0"/>
              <w:right w:val="single" w:color="auto" w:sz="4" w:space="0"/>
            </w:tcBorders>
            <w:shd w:val="clear" w:color="auto" w:fill="auto"/>
            <w:noWrap/>
            <w:vAlign w:val="center"/>
          </w:tcPr>
          <w:p w14:paraId="282177E4">
            <w:pPr>
              <w:pStyle w:val="31"/>
              <w:widowControl/>
              <w:kinsoku w:val="0"/>
              <w:autoSpaceDE w:val="0"/>
              <w:autoSpaceDN w:val="0"/>
              <w:adjustRightInd w:val="0"/>
              <w:snapToGrid w:val="0"/>
              <w:spacing w:line="300" w:lineRule="exact"/>
              <w:jc w:val="center"/>
              <w:textAlignment w:val="baseline"/>
              <w:rPr>
                <w:rFonts w:hint="default" w:ascii="方正仿宋简体" w:hAnsi="方正仿宋简体" w:eastAsia="方正仿宋简体" w:cs="方正仿宋简体"/>
                <w:color w:val="auto"/>
                <w:kern w:val="0"/>
                <w:sz w:val="24"/>
                <w:szCs w:val="24"/>
                <w:highlight w:val="none"/>
                <w:lang w:val="en-US" w:eastAsia="zh-CN"/>
              </w:rPr>
            </w:pPr>
            <w:r>
              <w:rPr>
                <w:rFonts w:hint="eastAsia" w:ascii="方正仿宋简体" w:hAnsi="方正仿宋简体" w:eastAsia="方正仿宋简体" w:cs="方正仿宋简体"/>
                <w:color w:val="auto"/>
                <w:kern w:val="0"/>
                <w:sz w:val="24"/>
                <w:szCs w:val="24"/>
                <w:highlight w:val="none"/>
                <w:lang w:val="en-US" w:eastAsia="zh-CN"/>
              </w:rPr>
              <w:t>6</w:t>
            </w:r>
          </w:p>
        </w:tc>
        <w:tc>
          <w:tcPr>
            <w:tcW w:w="1112" w:type="dxa"/>
            <w:tcBorders>
              <w:top w:val="single" w:color="auto" w:sz="4" w:space="0"/>
              <w:left w:val="nil"/>
              <w:bottom w:val="single" w:color="auto" w:sz="4" w:space="0"/>
              <w:right w:val="single" w:color="auto" w:sz="4" w:space="0"/>
            </w:tcBorders>
            <w:shd w:val="clear" w:color="auto" w:fill="auto"/>
            <w:noWrap/>
            <w:vAlign w:val="center"/>
          </w:tcPr>
          <w:p w14:paraId="56B36B1F">
            <w:pPr>
              <w:spacing w:line="360" w:lineRule="exact"/>
              <w:jc w:val="center"/>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w:t>
            </w:r>
            <w:r>
              <w:rPr>
                <w:rFonts w:hint="eastAsia" w:ascii="方正仿宋简体" w:hAnsi="方正仿宋简体" w:eastAsia="方正仿宋简体" w:cs="方正仿宋简体"/>
                <w:color w:val="auto"/>
                <w:kern w:val="0"/>
                <w:sz w:val="24"/>
                <w:szCs w:val="24"/>
                <w:highlight w:val="none"/>
                <w:lang w:val="en-US" w:eastAsia="zh-CN"/>
              </w:rPr>
              <w:t>400</w:t>
            </w:r>
            <w:r>
              <w:rPr>
                <w:rFonts w:hint="eastAsia" w:ascii="方正仿宋简体" w:hAnsi="方正仿宋简体" w:eastAsia="方正仿宋简体" w:cs="方正仿宋简体"/>
                <w:color w:val="auto"/>
                <w:kern w:val="0"/>
                <w:sz w:val="24"/>
                <w:szCs w:val="24"/>
                <w:highlight w:val="none"/>
              </w:rPr>
              <w:t>00人次</w:t>
            </w:r>
          </w:p>
        </w:tc>
        <w:tc>
          <w:tcPr>
            <w:tcW w:w="2589" w:type="dxa"/>
            <w:tcBorders>
              <w:top w:val="single" w:color="auto" w:sz="4" w:space="0"/>
              <w:left w:val="nil"/>
              <w:bottom w:val="single" w:color="auto" w:sz="4" w:space="0"/>
              <w:right w:val="single" w:color="auto" w:sz="4" w:space="0"/>
            </w:tcBorders>
            <w:shd w:val="clear" w:color="auto" w:fill="auto"/>
            <w:noWrap w:val="0"/>
            <w:vAlign w:val="center"/>
          </w:tcPr>
          <w:p w14:paraId="1DB56DEE">
            <w:pPr>
              <w:spacing w:line="36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主要考核中心科、艺、体等多类型展、演、节活动平台的打造及参与情况</w:t>
            </w:r>
          </w:p>
        </w:tc>
        <w:tc>
          <w:tcPr>
            <w:tcW w:w="2160" w:type="dxa"/>
            <w:tcBorders>
              <w:top w:val="single" w:color="auto" w:sz="4" w:space="0"/>
              <w:left w:val="nil"/>
              <w:bottom w:val="single" w:color="auto" w:sz="4" w:space="0"/>
              <w:right w:val="single" w:color="auto" w:sz="4" w:space="0"/>
            </w:tcBorders>
            <w:shd w:val="clear" w:color="auto" w:fill="auto"/>
            <w:noWrap w:val="0"/>
            <w:vAlign w:val="center"/>
          </w:tcPr>
          <w:p w14:paraId="06F2C510">
            <w:pPr>
              <w:pStyle w:val="31"/>
              <w:spacing w:before="78" w:line="264" w:lineRule="auto"/>
              <w:ind w:right="128"/>
              <w:rPr>
                <w:rFonts w:hint="eastAsia" w:ascii="方正仿宋简体" w:hAnsi="方正仿宋简体" w:eastAsia="方正仿宋简体" w:cs="方正仿宋简体"/>
                <w:color w:val="auto"/>
                <w:kern w:val="0"/>
                <w:sz w:val="24"/>
                <w:szCs w:val="24"/>
                <w:highlight w:val="none"/>
                <w:lang w:eastAsia="zh-CN"/>
              </w:rPr>
            </w:pPr>
            <w:r>
              <w:rPr>
                <w:rFonts w:hint="eastAsia" w:ascii="方正仿宋简体" w:hAnsi="方正仿宋简体" w:eastAsia="方正仿宋简体" w:cs="方正仿宋简体"/>
                <w:color w:val="auto"/>
                <w:kern w:val="0"/>
                <w:sz w:val="24"/>
                <w:szCs w:val="24"/>
                <w:highlight w:val="none"/>
                <w:lang w:val="en-US" w:eastAsia="zh-CN" w:bidi="ar-SA"/>
              </w:rPr>
              <w:t>1、</w:t>
            </w:r>
            <w:r>
              <w:rPr>
                <w:rFonts w:hint="eastAsia" w:ascii="方正仿宋简体" w:hAnsi="方正仿宋简体" w:eastAsia="方正仿宋简体" w:cs="方正仿宋简体"/>
                <w:color w:val="auto"/>
                <w:kern w:val="0"/>
                <w:sz w:val="24"/>
                <w:szCs w:val="24"/>
                <w:highlight w:val="none"/>
                <w:shd w:val="clear"/>
                <w:lang w:val="en-US" w:eastAsia="zh-CN" w:bidi="ar-SA"/>
              </w:rPr>
              <w:t>开展各类公益活动，参与人次大于40000次，得2分；2、组织科、艺、体相关展、演、节活动大于50场次得4分。</w:t>
            </w:r>
          </w:p>
        </w:tc>
        <w:tc>
          <w:tcPr>
            <w:tcW w:w="900" w:type="dxa"/>
            <w:tcBorders>
              <w:top w:val="single" w:color="auto" w:sz="4" w:space="0"/>
              <w:left w:val="nil"/>
              <w:bottom w:val="single" w:color="auto" w:sz="4" w:space="0"/>
              <w:right w:val="single" w:color="auto" w:sz="4" w:space="0"/>
            </w:tcBorders>
            <w:shd w:val="clear" w:color="auto" w:fill="auto"/>
            <w:noWrap w:val="0"/>
            <w:vAlign w:val="center"/>
          </w:tcPr>
          <w:p w14:paraId="7B96D053">
            <w:pPr>
              <w:pStyle w:val="31"/>
              <w:widowControl/>
              <w:kinsoku w:val="0"/>
              <w:autoSpaceDE w:val="0"/>
              <w:autoSpaceDN w:val="0"/>
              <w:adjustRightInd w:val="0"/>
              <w:snapToGrid w:val="0"/>
              <w:spacing w:line="300" w:lineRule="exact"/>
              <w:jc w:val="center"/>
              <w:textAlignment w:val="baseline"/>
              <w:rPr>
                <w:rFonts w:hint="default" w:ascii="方正仿宋简体" w:hAnsi="方正仿宋简体" w:eastAsia="方正仿宋简体" w:cs="方正仿宋简体"/>
                <w:color w:val="auto"/>
                <w:kern w:val="0"/>
                <w:sz w:val="24"/>
                <w:szCs w:val="24"/>
                <w:highlight w:val="none"/>
                <w:lang w:val="en-US" w:eastAsia="zh-CN"/>
              </w:rPr>
            </w:pPr>
            <w:r>
              <w:rPr>
                <w:rFonts w:hint="eastAsia" w:ascii="方正仿宋简体" w:hAnsi="方正仿宋简体" w:eastAsia="方正仿宋简体" w:cs="方正仿宋简体"/>
                <w:color w:val="auto"/>
                <w:kern w:val="0"/>
                <w:sz w:val="24"/>
                <w:szCs w:val="24"/>
                <w:highlight w:val="none"/>
                <w:shd w:val="clear"/>
                <w:lang w:val="en-US" w:eastAsia="zh-CN"/>
              </w:rPr>
              <w:t>6</w:t>
            </w:r>
          </w:p>
        </w:tc>
        <w:tc>
          <w:tcPr>
            <w:tcW w:w="3741" w:type="dxa"/>
            <w:gridSpan w:val="2"/>
            <w:tcBorders>
              <w:top w:val="single" w:color="auto" w:sz="4" w:space="0"/>
              <w:left w:val="nil"/>
              <w:bottom w:val="single" w:color="auto" w:sz="4" w:space="0"/>
              <w:right w:val="single" w:color="auto" w:sz="4" w:space="0"/>
            </w:tcBorders>
            <w:shd w:val="clear" w:color="auto" w:fill="auto"/>
            <w:noWrap w:val="0"/>
            <w:vAlign w:val="center"/>
          </w:tcPr>
          <w:p w14:paraId="27B78208">
            <w:pPr>
              <w:pStyle w:val="31"/>
              <w:widowControl/>
              <w:kinsoku w:val="0"/>
              <w:autoSpaceDE w:val="0"/>
              <w:autoSpaceDN w:val="0"/>
              <w:adjustRightInd w:val="0"/>
              <w:snapToGrid w:val="0"/>
              <w:spacing w:line="300" w:lineRule="exact"/>
              <w:jc w:val="left"/>
              <w:textAlignment w:val="baseline"/>
              <w:rPr>
                <w:rFonts w:hint="default" w:ascii="方正仿宋简体" w:hAnsi="方正仿宋简体" w:eastAsia="方正仿宋简体" w:cs="方正仿宋简体"/>
                <w:color w:val="auto"/>
                <w:kern w:val="0"/>
                <w:sz w:val="24"/>
                <w:szCs w:val="24"/>
                <w:highlight w:val="none"/>
                <w:lang w:val="en-US"/>
              </w:rPr>
            </w:pPr>
            <w:r>
              <w:rPr>
                <w:rFonts w:hint="eastAsia" w:ascii="方正仿宋简体" w:hAnsi="方正仿宋简体" w:eastAsia="方正仿宋简体" w:cs="方正仿宋简体"/>
                <w:color w:val="auto"/>
                <w:kern w:val="2"/>
                <w:sz w:val="24"/>
                <w:szCs w:val="24"/>
                <w:highlight w:val="none"/>
                <w:lang w:val="en-US" w:eastAsia="zh-CN" w:bidi="ar-SA"/>
              </w:rPr>
              <w:t>中心本年度成功举办了第十三届“我的中国梦”南京市少儿才艺展演活动，承办全国青少年传统体育项目江苏区活动、南京市阳光体育节棋类活动、2025年义务教育阶段学校“五小”活动，完成第三届南京市“小小民生观察员”社会实践活动等公益活动，各类展、演、节活动超50场，参与人数超4万人。</w:t>
            </w:r>
          </w:p>
        </w:tc>
      </w:tr>
      <w:tr w14:paraId="508D85F4">
        <w:tblPrEx>
          <w:shd w:val="clear" w:color="auto" w:fill="auto"/>
          <w:tblCellMar>
            <w:top w:w="0" w:type="dxa"/>
            <w:left w:w="108" w:type="dxa"/>
            <w:bottom w:w="0" w:type="dxa"/>
            <w:right w:w="108" w:type="dxa"/>
          </w:tblCellMar>
        </w:tblPrEx>
        <w:trPr>
          <w:trHeight w:val="4365" w:hRule="atLeast"/>
          <w:jc w:val="center"/>
        </w:trPr>
        <w:tc>
          <w:tcPr>
            <w:tcW w:w="1181" w:type="dxa"/>
            <w:tcBorders>
              <w:top w:val="single" w:color="auto" w:sz="4" w:space="0"/>
              <w:left w:val="single" w:color="auto" w:sz="4" w:space="0"/>
              <w:right w:val="single" w:color="auto" w:sz="4" w:space="0"/>
            </w:tcBorders>
            <w:shd w:val="clear" w:color="auto" w:fill="auto"/>
            <w:noWrap w:val="0"/>
            <w:vAlign w:val="center"/>
          </w:tcPr>
          <w:p w14:paraId="07EB83D1">
            <w:pPr>
              <w:spacing w:line="36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C部门履职（40分）</w:t>
            </w:r>
          </w:p>
        </w:tc>
        <w:tc>
          <w:tcPr>
            <w:tcW w:w="1216" w:type="dxa"/>
            <w:vMerge w:val="continue"/>
            <w:tcBorders>
              <w:left w:val="single" w:color="auto" w:sz="4" w:space="0"/>
              <w:bottom w:val="single" w:color="auto" w:sz="4" w:space="0"/>
              <w:right w:val="single" w:color="auto" w:sz="4" w:space="0"/>
            </w:tcBorders>
            <w:shd w:val="clear" w:color="auto" w:fill="auto"/>
            <w:noWrap w:val="0"/>
            <w:vAlign w:val="center"/>
          </w:tcPr>
          <w:p w14:paraId="29E471CA">
            <w:pPr>
              <w:spacing w:line="360" w:lineRule="exact"/>
              <w:jc w:val="left"/>
              <w:rPr>
                <w:rFonts w:hint="eastAsia" w:ascii="方正仿宋简体" w:hAnsi="方正仿宋简体" w:eastAsia="方正仿宋简体" w:cs="方正仿宋简体"/>
                <w:color w:val="auto"/>
                <w:kern w:val="0"/>
                <w:sz w:val="24"/>
                <w:szCs w:val="24"/>
                <w:highlight w:val="none"/>
              </w:rPr>
            </w:pPr>
          </w:p>
        </w:tc>
        <w:tc>
          <w:tcPr>
            <w:tcW w:w="14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E2B994E">
            <w:pPr>
              <w:spacing w:line="36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C3</w:t>
            </w:r>
            <w:r>
              <w:rPr>
                <w:rFonts w:hint="eastAsia" w:ascii="方正仿宋简体" w:hAnsi="方正仿宋简体" w:eastAsia="方正仿宋简体" w:cs="方正仿宋简体"/>
                <w:color w:val="auto"/>
                <w:kern w:val="0"/>
                <w:sz w:val="24"/>
                <w:szCs w:val="24"/>
                <w:highlight w:val="none"/>
                <w:lang w:val="en-US" w:eastAsia="zh-CN"/>
              </w:rPr>
              <w:t>3</w:t>
            </w:r>
            <w:r>
              <w:rPr>
                <w:rFonts w:hint="eastAsia" w:ascii="方正仿宋简体" w:hAnsi="方正仿宋简体" w:eastAsia="方正仿宋简体" w:cs="方正仿宋简体"/>
                <w:color w:val="auto"/>
                <w:kern w:val="0"/>
                <w:sz w:val="24"/>
                <w:szCs w:val="24"/>
                <w:highlight w:val="none"/>
              </w:rPr>
              <w:t>开展“儿童友好城市”主题活动，树立南京市儿童友好城市建设区域样板</w:t>
            </w:r>
          </w:p>
        </w:tc>
        <w:tc>
          <w:tcPr>
            <w:tcW w:w="655" w:type="dxa"/>
            <w:tcBorders>
              <w:top w:val="single" w:color="auto" w:sz="4" w:space="0"/>
              <w:left w:val="nil"/>
              <w:bottom w:val="single" w:color="auto" w:sz="4" w:space="0"/>
              <w:right w:val="single" w:color="auto" w:sz="4" w:space="0"/>
            </w:tcBorders>
            <w:shd w:val="clear" w:color="auto" w:fill="auto"/>
            <w:noWrap/>
            <w:vAlign w:val="center"/>
          </w:tcPr>
          <w:p w14:paraId="2EE69180">
            <w:pPr>
              <w:pStyle w:val="31"/>
              <w:widowControl/>
              <w:kinsoku w:val="0"/>
              <w:autoSpaceDE w:val="0"/>
              <w:autoSpaceDN w:val="0"/>
              <w:adjustRightInd w:val="0"/>
              <w:snapToGrid w:val="0"/>
              <w:spacing w:line="300" w:lineRule="exact"/>
              <w:jc w:val="center"/>
              <w:textAlignment w:val="baseline"/>
              <w:rPr>
                <w:rFonts w:hint="eastAsia" w:ascii="方正仿宋简体" w:hAnsi="方正仿宋简体" w:eastAsia="方正仿宋简体" w:cs="方正仿宋简体"/>
                <w:color w:val="auto"/>
                <w:kern w:val="0"/>
                <w:sz w:val="24"/>
                <w:szCs w:val="24"/>
                <w:highlight w:val="none"/>
                <w:lang w:eastAsia="zh-CN"/>
              </w:rPr>
            </w:pPr>
            <w:r>
              <w:rPr>
                <w:rFonts w:hint="eastAsia" w:ascii="方正仿宋简体" w:hAnsi="方正仿宋简体" w:eastAsia="方正仿宋简体" w:cs="方正仿宋简体"/>
                <w:color w:val="auto"/>
                <w:kern w:val="0"/>
                <w:sz w:val="24"/>
                <w:szCs w:val="24"/>
                <w:highlight w:val="none"/>
                <w:lang w:val="en-US" w:eastAsia="zh-CN"/>
              </w:rPr>
              <w:t>3</w:t>
            </w:r>
          </w:p>
        </w:tc>
        <w:tc>
          <w:tcPr>
            <w:tcW w:w="1112" w:type="dxa"/>
            <w:tcBorders>
              <w:top w:val="single" w:color="auto" w:sz="4" w:space="0"/>
              <w:left w:val="nil"/>
              <w:bottom w:val="single" w:color="auto" w:sz="4" w:space="0"/>
              <w:right w:val="single" w:color="auto" w:sz="4" w:space="0"/>
            </w:tcBorders>
            <w:shd w:val="clear" w:color="auto" w:fill="auto"/>
            <w:noWrap/>
            <w:vAlign w:val="center"/>
          </w:tcPr>
          <w:p w14:paraId="4855294E">
            <w:pPr>
              <w:spacing w:line="360" w:lineRule="exact"/>
              <w:jc w:val="center"/>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≥1</w:t>
            </w:r>
            <w:r>
              <w:rPr>
                <w:rFonts w:hint="eastAsia" w:ascii="方正仿宋简体" w:hAnsi="方正仿宋简体" w:eastAsia="方正仿宋简体" w:cs="方正仿宋简体"/>
                <w:color w:val="auto"/>
                <w:kern w:val="0"/>
                <w:sz w:val="24"/>
                <w:szCs w:val="24"/>
                <w:highlight w:val="none"/>
                <w:lang w:val="en-US" w:eastAsia="zh-CN"/>
              </w:rPr>
              <w:t>00</w:t>
            </w:r>
            <w:r>
              <w:rPr>
                <w:rFonts w:hint="eastAsia" w:ascii="方正仿宋简体" w:hAnsi="方正仿宋简体" w:eastAsia="方正仿宋简体" w:cs="方正仿宋简体"/>
                <w:color w:val="auto"/>
                <w:kern w:val="0"/>
                <w:sz w:val="24"/>
                <w:szCs w:val="24"/>
                <w:highlight w:val="none"/>
              </w:rPr>
              <w:t>0人次</w:t>
            </w:r>
          </w:p>
        </w:tc>
        <w:tc>
          <w:tcPr>
            <w:tcW w:w="2589" w:type="dxa"/>
            <w:tcBorders>
              <w:top w:val="single" w:color="auto" w:sz="4" w:space="0"/>
              <w:left w:val="nil"/>
              <w:bottom w:val="single" w:color="auto" w:sz="4" w:space="0"/>
              <w:right w:val="single" w:color="auto" w:sz="4" w:space="0"/>
            </w:tcBorders>
            <w:shd w:val="clear" w:color="auto" w:fill="auto"/>
            <w:noWrap w:val="0"/>
            <w:vAlign w:val="center"/>
          </w:tcPr>
          <w:p w14:paraId="65C420BF">
            <w:pPr>
              <w:spacing w:line="36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主要考核</w:t>
            </w:r>
            <w:r>
              <w:rPr>
                <w:rFonts w:hint="eastAsia" w:ascii="方正仿宋简体" w:hAnsi="方正仿宋简体" w:eastAsia="方正仿宋简体" w:cs="方正仿宋简体"/>
                <w:color w:val="auto"/>
                <w:kern w:val="0"/>
                <w:sz w:val="24"/>
                <w:szCs w:val="24"/>
                <w:highlight w:val="none"/>
                <w:lang w:val="en-US" w:eastAsia="zh-CN"/>
              </w:rPr>
              <w:t>开展</w:t>
            </w:r>
            <w:r>
              <w:rPr>
                <w:rFonts w:hint="eastAsia" w:ascii="方正仿宋简体" w:hAnsi="方正仿宋简体" w:eastAsia="方正仿宋简体" w:cs="方正仿宋简体"/>
                <w:color w:val="auto"/>
                <w:kern w:val="0"/>
                <w:sz w:val="24"/>
                <w:szCs w:val="24"/>
                <w:highlight w:val="none"/>
              </w:rPr>
              <w:t>“儿童友好城市”主题</w:t>
            </w:r>
            <w:r>
              <w:rPr>
                <w:rFonts w:hint="eastAsia" w:ascii="方正仿宋简体" w:hAnsi="方正仿宋简体" w:eastAsia="方正仿宋简体" w:cs="方正仿宋简体"/>
                <w:color w:val="auto"/>
                <w:kern w:val="0"/>
                <w:sz w:val="24"/>
                <w:szCs w:val="24"/>
                <w:highlight w:val="none"/>
                <w:lang w:val="en-US" w:eastAsia="zh-CN"/>
              </w:rPr>
              <w:t>相关</w:t>
            </w:r>
            <w:r>
              <w:rPr>
                <w:rFonts w:hint="eastAsia" w:ascii="方正仿宋简体" w:hAnsi="方正仿宋简体" w:eastAsia="方正仿宋简体" w:cs="方正仿宋简体"/>
                <w:color w:val="auto"/>
                <w:kern w:val="0"/>
                <w:sz w:val="24"/>
                <w:szCs w:val="24"/>
                <w:highlight w:val="none"/>
              </w:rPr>
              <w:t>活动服务情况。</w:t>
            </w:r>
          </w:p>
        </w:tc>
        <w:tc>
          <w:tcPr>
            <w:tcW w:w="2160" w:type="dxa"/>
            <w:tcBorders>
              <w:top w:val="single" w:color="auto" w:sz="4" w:space="0"/>
              <w:left w:val="nil"/>
              <w:bottom w:val="single" w:color="auto" w:sz="4" w:space="0"/>
              <w:right w:val="single" w:color="auto" w:sz="4" w:space="0"/>
            </w:tcBorders>
            <w:shd w:val="clear" w:color="auto" w:fill="auto"/>
            <w:noWrap w:val="0"/>
            <w:vAlign w:val="center"/>
          </w:tcPr>
          <w:p w14:paraId="7942A849">
            <w:pPr>
              <w:pStyle w:val="31"/>
              <w:spacing w:before="78" w:line="264" w:lineRule="auto"/>
              <w:ind w:right="128"/>
              <w:rPr>
                <w:rFonts w:hint="eastAsia" w:ascii="方正仿宋简体" w:hAnsi="方正仿宋简体" w:eastAsia="方正仿宋简体" w:cs="方正仿宋简体"/>
                <w:color w:val="auto"/>
                <w:kern w:val="0"/>
                <w:sz w:val="24"/>
                <w:szCs w:val="24"/>
                <w:highlight w:val="none"/>
                <w:lang w:eastAsia="zh-CN"/>
              </w:rPr>
            </w:pPr>
            <w:r>
              <w:rPr>
                <w:rFonts w:hint="eastAsia" w:ascii="方正仿宋简体" w:hAnsi="方正仿宋简体" w:eastAsia="方正仿宋简体" w:cs="方正仿宋简体"/>
                <w:color w:val="auto"/>
                <w:kern w:val="0"/>
                <w:sz w:val="24"/>
                <w:szCs w:val="24"/>
                <w:highlight w:val="none"/>
                <w:lang w:eastAsia="zh-CN"/>
              </w:rPr>
              <w:t>1、开展“儿童友好与宁同行”公益研学</w:t>
            </w:r>
            <w:r>
              <w:rPr>
                <w:rFonts w:hint="eastAsia" w:ascii="方正仿宋简体" w:hAnsi="方正仿宋简体" w:eastAsia="方正仿宋简体" w:cs="方正仿宋简体"/>
                <w:color w:val="auto"/>
                <w:kern w:val="0"/>
                <w:sz w:val="24"/>
                <w:szCs w:val="24"/>
                <w:highlight w:val="none"/>
                <w:lang w:val="en-US" w:eastAsia="zh-CN"/>
              </w:rPr>
              <w:t>活动人数超1000人得1</w:t>
            </w:r>
            <w:r>
              <w:rPr>
                <w:rFonts w:hint="eastAsia" w:ascii="方正仿宋简体" w:hAnsi="方正仿宋简体" w:eastAsia="方正仿宋简体" w:cs="方正仿宋简体"/>
                <w:color w:val="auto"/>
                <w:kern w:val="0"/>
                <w:sz w:val="24"/>
                <w:szCs w:val="24"/>
                <w:highlight w:val="none"/>
                <w:lang w:eastAsia="zh-CN"/>
              </w:rPr>
              <w:t>.5分；2、完成第三届南京市“小小民生观察员”社会实践活动</w:t>
            </w:r>
            <w:r>
              <w:rPr>
                <w:rFonts w:hint="eastAsia" w:ascii="方正仿宋简体" w:hAnsi="方正仿宋简体" w:eastAsia="方正仿宋简体" w:cs="方正仿宋简体"/>
                <w:color w:val="auto"/>
                <w:kern w:val="0"/>
                <w:sz w:val="24"/>
                <w:szCs w:val="24"/>
                <w:highlight w:val="none"/>
                <w:lang w:val="en-US" w:eastAsia="zh-CN"/>
              </w:rPr>
              <w:t>1.5</w:t>
            </w:r>
            <w:r>
              <w:rPr>
                <w:rFonts w:hint="eastAsia" w:ascii="方正仿宋简体" w:hAnsi="方正仿宋简体" w:eastAsia="方正仿宋简体" w:cs="方正仿宋简体"/>
                <w:color w:val="auto"/>
                <w:kern w:val="0"/>
                <w:sz w:val="24"/>
                <w:szCs w:val="24"/>
                <w:highlight w:val="none"/>
                <w:lang w:eastAsia="zh-CN"/>
              </w:rPr>
              <w:t>分。</w:t>
            </w:r>
          </w:p>
        </w:tc>
        <w:tc>
          <w:tcPr>
            <w:tcW w:w="900" w:type="dxa"/>
            <w:tcBorders>
              <w:top w:val="single" w:color="auto" w:sz="4" w:space="0"/>
              <w:left w:val="nil"/>
              <w:bottom w:val="single" w:color="auto" w:sz="4" w:space="0"/>
              <w:right w:val="single" w:color="auto" w:sz="4" w:space="0"/>
            </w:tcBorders>
            <w:shd w:val="clear" w:color="auto" w:fill="auto"/>
            <w:noWrap w:val="0"/>
            <w:vAlign w:val="center"/>
          </w:tcPr>
          <w:p w14:paraId="459323C4">
            <w:pPr>
              <w:pStyle w:val="31"/>
              <w:widowControl/>
              <w:kinsoku w:val="0"/>
              <w:autoSpaceDE w:val="0"/>
              <w:autoSpaceDN w:val="0"/>
              <w:adjustRightInd w:val="0"/>
              <w:snapToGrid w:val="0"/>
              <w:spacing w:line="300" w:lineRule="exact"/>
              <w:jc w:val="center"/>
              <w:textAlignment w:val="baseline"/>
              <w:rPr>
                <w:rFonts w:hint="default" w:ascii="方正仿宋简体" w:hAnsi="方正仿宋简体" w:eastAsia="方正仿宋简体" w:cs="方正仿宋简体"/>
                <w:color w:val="auto"/>
                <w:kern w:val="0"/>
                <w:sz w:val="24"/>
                <w:szCs w:val="24"/>
                <w:highlight w:val="none"/>
                <w:lang w:val="en-US" w:eastAsia="zh-CN"/>
              </w:rPr>
            </w:pPr>
            <w:r>
              <w:rPr>
                <w:rFonts w:hint="eastAsia" w:ascii="方正仿宋简体" w:hAnsi="方正仿宋简体" w:eastAsia="方正仿宋简体" w:cs="方正仿宋简体"/>
                <w:color w:val="auto"/>
                <w:kern w:val="0"/>
                <w:sz w:val="24"/>
                <w:szCs w:val="24"/>
                <w:highlight w:val="none"/>
                <w:lang w:val="en-US" w:eastAsia="zh-CN"/>
              </w:rPr>
              <w:t>3</w:t>
            </w:r>
          </w:p>
        </w:tc>
        <w:tc>
          <w:tcPr>
            <w:tcW w:w="3741" w:type="dxa"/>
            <w:gridSpan w:val="2"/>
            <w:tcBorders>
              <w:top w:val="single" w:color="auto" w:sz="4" w:space="0"/>
              <w:left w:val="nil"/>
              <w:bottom w:val="single" w:color="auto" w:sz="4" w:space="0"/>
              <w:right w:val="single" w:color="auto" w:sz="4" w:space="0"/>
            </w:tcBorders>
            <w:shd w:val="clear" w:color="auto" w:fill="auto"/>
            <w:noWrap w:val="0"/>
            <w:vAlign w:val="center"/>
          </w:tcPr>
          <w:p w14:paraId="5A819D66">
            <w:pPr>
              <w:snapToGrid w:val="0"/>
              <w:spacing w:line="520" w:lineRule="exact"/>
              <w:rPr>
                <w:rFonts w:hint="eastAsia" w:ascii="方正仿宋简体" w:hAnsi="方正仿宋简体" w:eastAsia="方正仿宋简体" w:cs="方正仿宋简体"/>
                <w:color w:val="auto"/>
                <w:sz w:val="24"/>
                <w:szCs w:val="24"/>
                <w:highlight w:val="none"/>
                <w:lang w:eastAsia="zh-CN"/>
              </w:rPr>
            </w:pPr>
            <w:r>
              <w:rPr>
                <w:rFonts w:hint="eastAsia" w:ascii="方正仿宋简体" w:hAnsi="方正仿宋简体" w:eastAsia="方正仿宋简体" w:cs="方正仿宋简体"/>
                <w:color w:val="auto"/>
                <w:sz w:val="24"/>
                <w:szCs w:val="24"/>
                <w:highlight w:val="none"/>
              </w:rPr>
              <w:t>开展“儿童友好与宁同行”公益研学26场，利用暑期时间带领全市10</w:t>
            </w:r>
            <w:r>
              <w:rPr>
                <w:rFonts w:hint="eastAsia" w:ascii="方正仿宋简体" w:hAnsi="方正仿宋简体" w:eastAsia="方正仿宋简体" w:cs="方正仿宋简体"/>
                <w:color w:val="auto"/>
                <w:sz w:val="24"/>
                <w:szCs w:val="24"/>
                <w:highlight w:val="none"/>
                <w:lang w:val="en-US" w:eastAsia="zh-CN"/>
              </w:rPr>
              <w:t>23</w:t>
            </w:r>
            <w:r>
              <w:rPr>
                <w:rFonts w:hint="eastAsia" w:ascii="方正仿宋简体" w:hAnsi="方正仿宋简体" w:eastAsia="方正仿宋简体" w:cs="方正仿宋简体"/>
                <w:color w:val="auto"/>
                <w:sz w:val="24"/>
                <w:szCs w:val="24"/>
                <w:highlight w:val="none"/>
              </w:rPr>
              <w:t>名少年儿童走进儿童友好社区、街区，试点单位共5条线路，沉浸式感受儿童友好城市的建设成果；完成第三届南京市“小小民生观察员”社会实践活动，收到建议3776份，评选出优秀建议200份</w:t>
            </w:r>
            <w:r>
              <w:rPr>
                <w:rFonts w:hint="eastAsia" w:ascii="方正仿宋简体" w:hAnsi="方正仿宋简体" w:eastAsia="方正仿宋简体" w:cs="方正仿宋简体"/>
                <w:color w:val="auto"/>
                <w:sz w:val="24"/>
                <w:szCs w:val="24"/>
                <w:highlight w:val="none"/>
                <w:lang w:eastAsia="zh-CN"/>
              </w:rPr>
              <w:t>。</w:t>
            </w:r>
          </w:p>
          <w:p w14:paraId="4D73D5F0">
            <w:pPr>
              <w:pStyle w:val="31"/>
              <w:widowControl/>
              <w:kinsoku w:val="0"/>
              <w:autoSpaceDE w:val="0"/>
              <w:autoSpaceDN w:val="0"/>
              <w:adjustRightInd w:val="0"/>
              <w:snapToGrid w:val="0"/>
              <w:spacing w:line="300" w:lineRule="exact"/>
              <w:jc w:val="left"/>
              <w:textAlignment w:val="baseline"/>
              <w:rPr>
                <w:rFonts w:hint="eastAsia" w:ascii="方正仿宋简体" w:hAnsi="方正仿宋简体" w:eastAsia="方正仿宋简体" w:cs="方正仿宋简体"/>
                <w:color w:val="auto"/>
                <w:kern w:val="0"/>
                <w:sz w:val="24"/>
                <w:szCs w:val="24"/>
                <w:highlight w:val="none"/>
              </w:rPr>
            </w:pPr>
          </w:p>
        </w:tc>
      </w:tr>
      <w:tr w14:paraId="59FC1707">
        <w:tblPrEx>
          <w:shd w:val="clear" w:color="auto" w:fill="auto"/>
          <w:tblCellMar>
            <w:top w:w="0" w:type="dxa"/>
            <w:left w:w="108" w:type="dxa"/>
            <w:bottom w:w="0" w:type="dxa"/>
            <w:right w:w="108" w:type="dxa"/>
          </w:tblCellMar>
        </w:tblPrEx>
        <w:trPr>
          <w:trHeight w:val="3505" w:hRule="atLeast"/>
          <w:jc w:val="center"/>
        </w:trPr>
        <w:tc>
          <w:tcPr>
            <w:tcW w:w="118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1C43B08">
            <w:pPr>
              <w:spacing w:line="36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D履职绩效（20分）</w:t>
            </w:r>
          </w:p>
        </w:tc>
        <w:tc>
          <w:tcPr>
            <w:tcW w:w="121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A48EFAE">
            <w:pPr>
              <w:spacing w:line="36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D1社会效益（20分）</w:t>
            </w:r>
          </w:p>
        </w:tc>
        <w:tc>
          <w:tcPr>
            <w:tcW w:w="1440" w:type="dxa"/>
            <w:tcBorders>
              <w:top w:val="single" w:color="auto" w:sz="4" w:space="0"/>
              <w:left w:val="nil"/>
              <w:bottom w:val="single" w:color="auto" w:sz="4" w:space="0"/>
              <w:right w:val="single" w:color="auto" w:sz="4" w:space="0"/>
            </w:tcBorders>
            <w:shd w:val="clear" w:color="auto" w:fill="auto"/>
            <w:noWrap w:val="0"/>
            <w:vAlign w:val="center"/>
          </w:tcPr>
          <w:p w14:paraId="510F4A0D">
            <w:pPr>
              <w:spacing w:line="360" w:lineRule="exac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D11中心品牌服务影响力进一步扩大</w:t>
            </w:r>
          </w:p>
        </w:tc>
        <w:tc>
          <w:tcPr>
            <w:tcW w:w="655" w:type="dxa"/>
            <w:tcBorders>
              <w:top w:val="single" w:color="auto" w:sz="4" w:space="0"/>
              <w:left w:val="nil"/>
              <w:bottom w:val="single" w:color="auto" w:sz="4" w:space="0"/>
              <w:right w:val="single" w:color="auto" w:sz="4" w:space="0"/>
            </w:tcBorders>
            <w:shd w:val="clear" w:color="auto" w:fill="auto"/>
            <w:noWrap/>
            <w:vAlign w:val="center"/>
          </w:tcPr>
          <w:p w14:paraId="4AC42645">
            <w:pPr>
              <w:spacing w:line="360" w:lineRule="exact"/>
              <w:jc w:val="center"/>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10</w:t>
            </w:r>
          </w:p>
        </w:tc>
        <w:tc>
          <w:tcPr>
            <w:tcW w:w="1112" w:type="dxa"/>
            <w:tcBorders>
              <w:top w:val="single" w:color="auto" w:sz="4" w:space="0"/>
              <w:left w:val="nil"/>
              <w:bottom w:val="single" w:color="auto" w:sz="4" w:space="0"/>
              <w:right w:val="single" w:color="auto" w:sz="4" w:space="0"/>
            </w:tcBorders>
            <w:shd w:val="clear" w:color="auto" w:fill="auto"/>
            <w:noWrap/>
            <w:vAlign w:val="center"/>
          </w:tcPr>
          <w:p w14:paraId="58F9BAA7">
            <w:pPr>
              <w:spacing w:line="360" w:lineRule="exac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增强</w:t>
            </w:r>
          </w:p>
        </w:tc>
        <w:tc>
          <w:tcPr>
            <w:tcW w:w="2589" w:type="dxa"/>
            <w:tcBorders>
              <w:top w:val="single" w:color="auto" w:sz="4" w:space="0"/>
              <w:left w:val="nil"/>
              <w:bottom w:val="single" w:color="auto" w:sz="4" w:space="0"/>
              <w:right w:val="single" w:color="auto" w:sz="4" w:space="0"/>
            </w:tcBorders>
            <w:shd w:val="clear" w:color="auto" w:fill="auto"/>
            <w:noWrap w:val="0"/>
            <w:vAlign w:val="center"/>
          </w:tcPr>
          <w:p w14:paraId="67394832">
            <w:pPr>
              <w:spacing w:line="360" w:lineRule="exac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主要考核中心妇女儿童和家庭公益服务平台和公益品牌活动的推动情况。</w:t>
            </w:r>
          </w:p>
        </w:tc>
        <w:tc>
          <w:tcPr>
            <w:tcW w:w="2160" w:type="dxa"/>
            <w:tcBorders>
              <w:top w:val="single" w:color="auto" w:sz="4" w:space="0"/>
              <w:left w:val="nil"/>
              <w:bottom w:val="single" w:color="auto" w:sz="4" w:space="0"/>
              <w:right w:val="single" w:color="auto" w:sz="4" w:space="0"/>
            </w:tcBorders>
            <w:shd w:val="clear" w:color="auto" w:fill="auto"/>
            <w:noWrap w:val="0"/>
            <w:vAlign w:val="center"/>
          </w:tcPr>
          <w:p w14:paraId="56CB3850">
            <w:pPr>
              <w:spacing w:line="360" w:lineRule="exac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lang w:val="en-US" w:eastAsia="zh-CN"/>
              </w:rPr>
              <w:t>1、</w:t>
            </w:r>
            <w:r>
              <w:rPr>
                <w:rFonts w:hint="eastAsia" w:ascii="方正仿宋简体" w:hAnsi="方正仿宋简体" w:eastAsia="方正仿宋简体" w:cs="方正仿宋简体"/>
                <w:color w:val="auto"/>
                <w:kern w:val="0"/>
                <w:sz w:val="24"/>
                <w:szCs w:val="24"/>
                <w:highlight w:val="none"/>
              </w:rPr>
              <w:t>建设社会公益服务平台，深入打造品牌公益活动场次高于</w:t>
            </w:r>
            <w:r>
              <w:rPr>
                <w:rFonts w:hint="eastAsia" w:ascii="方正仿宋简体" w:hAnsi="方正仿宋简体" w:eastAsia="方正仿宋简体" w:cs="方正仿宋简体"/>
                <w:color w:val="auto"/>
                <w:kern w:val="0"/>
                <w:sz w:val="24"/>
                <w:szCs w:val="24"/>
                <w:highlight w:val="none"/>
                <w:lang w:val="en-US" w:eastAsia="zh-CN"/>
              </w:rPr>
              <w:t>50</w:t>
            </w:r>
            <w:r>
              <w:rPr>
                <w:rFonts w:hint="eastAsia" w:ascii="方正仿宋简体" w:hAnsi="方正仿宋简体" w:eastAsia="方正仿宋简体" w:cs="方正仿宋简体"/>
                <w:color w:val="auto"/>
                <w:kern w:val="0"/>
                <w:sz w:val="24"/>
                <w:szCs w:val="24"/>
                <w:highlight w:val="none"/>
              </w:rPr>
              <w:t>场次得</w:t>
            </w:r>
            <w:r>
              <w:rPr>
                <w:rFonts w:hint="eastAsia" w:ascii="方正仿宋简体" w:hAnsi="方正仿宋简体" w:eastAsia="方正仿宋简体" w:cs="方正仿宋简体"/>
                <w:color w:val="auto"/>
                <w:kern w:val="0"/>
                <w:sz w:val="24"/>
                <w:szCs w:val="24"/>
                <w:highlight w:val="none"/>
                <w:lang w:val="en-US" w:eastAsia="zh-CN"/>
              </w:rPr>
              <w:t>5</w:t>
            </w:r>
            <w:r>
              <w:rPr>
                <w:rFonts w:hint="eastAsia" w:ascii="方正仿宋简体" w:hAnsi="方正仿宋简体" w:eastAsia="方正仿宋简体" w:cs="方正仿宋简体"/>
                <w:color w:val="auto"/>
                <w:kern w:val="0"/>
                <w:sz w:val="24"/>
                <w:szCs w:val="24"/>
                <w:highlight w:val="none"/>
              </w:rPr>
              <w:t>分；2、在原有公益活动的基础上深度发掘，打造多元化、系列化的公益活动，有效扩大参与人群范围，参与活动人数大于</w:t>
            </w:r>
            <w:r>
              <w:rPr>
                <w:rFonts w:hint="eastAsia" w:ascii="方正仿宋简体" w:hAnsi="方正仿宋简体" w:eastAsia="方正仿宋简体" w:cs="方正仿宋简体"/>
                <w:color w:val="auto"/>
                <w:kern w:val="0"/>
                <w:sz w:val="24"/>
                <w:szCs w:val="24"/>
                <w:highlight w:val="none"/>
                <w:lang w:val="en-US" w:eastAsia="zh-CN"/>
              </w:rPr>
              <w:t>5</w:t>
            </w:r>
            <w:r>
              <w:rPr>
                <w:rFonts w:hint="eastAsia" w:ascii="方正仿宋简体" w:hAnsi="方正仿宋简体" w:eastAsia="方正仿宋简体" w:cs="方正仿宋简体"/>
                <w:color w:val="auto"/>
                <w:kern w:val="0"/>
                <w:sz w:val="24"/>
                <w:szCs w:val="24"/>
                <w:highlight w:val="none"/>
              </w:rPr>
              <w:t>万人得</w:t>
            </w:r>
            <w:r>
              <w:rPr>
                <w:rFonts w:hint="eastAsia" w:ascii="方正仿宋简体" w:hAnsi="方正仿宋简体" w:eastAsia="方正仿宋简体" w:cs="方正仿宋简体"/>
                <w:color w:val="auto"/>
                <w:kern w:val="0"/>
                <w:sz w:val="24"/>
                <w:szCs w:val="24"/>
                <w:highlight w:val="none"/>
                <w:lang w:val="en-US" w:eastAsia="zh-CN"/>
              </w:rPr>
              <w:t>5</w:t>
            </w:r>
            <w:r>
              <w:rPr>
                <w:rFonts w:hint="eastAsia" w:ascii="方正仿宋简体" w:hAnsi="方正仿宋简体" w:eastAsia="方正仿宋简体" w:cs="方正仿宋简体"/>
                <w:color w:val="auto"/>
                <w:kern w:val="0"/>
                <w:sz w:val="24"/>
                <w:szCs w:val="24"/>
                <w:highlight w:val="none"/>
              </w:rPr>
              <w:t>分。</w:t>
            </w:r>
          </w:p>
        </w:tc>
        <w:tc>
          <w:tcPr>
            <w:tcW w:w="900" w:type="dxa"/>
            <w:tcBorders>
              <w:top w:val="single" w:color="auto" w:sz="4" w:space="0"/>
              <w:left w:val="nil"/>
              <w:bottom w:val="single" w:color="auto" w:sz="4" w:space="0"/>
              <w:right w:val="single" w:color="auto" w:sz="4" w:space="0"/>
            </w:tcBorders>
            <w:shd w:val="clear" w:color="auto" w:fill="auto"/>
            <w:noWrap w:val="0"/>
            <w:vAlign w:val="center"/>
          </w:tcPr>
          <w:p w14:paraId="7213F09A">
            <w:pPr>
              <w:spacing w:line="360" w:lineRule="exact"/>
              <w:ind w:firstLine="240" w:firstLineChars="100"/>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10</w:t>
            </w:r>
          </w:p>
        </w:tc>
        <w:tc>
          <w:tcPr>
            <w:tcW w:w="3741" w:type="dxa"/>
            <w:gridSpan w:val="2"/>
            <w:tcBorders>
              <w:top w:val="single" w:color="auto" w:sz="4" w:space="0"/>
              <w:left w:val="nil"/>
              <w:bottom w:val="single" w:color="auto" w:sz="4" w:space="0"/>
              <w:right w:val="single" w:color="auto" w:sz="4" w:space="0"/>
            </w:tcBorders>
            <w:shd w:val="clear" w:color="auto" w:fill="auto"/>
            <w:noWrap w:val="0"/>
            <w:vAlign w:val="center"/>
          </w:tcPr>
          <w:p w14:paraId="33C23FF0">
            <w:pPr>
              <w:numPr>
                <w:ilvl w:val="0"/>
                <w:numId w:val="3"/>
              </w:numPr>
              <w:spacing w:line="360" w:lineRule="exact"/>
              <w:rPr>
                <w:rFonts w:hint="eastAsia" w:ascii="方正仿宋简体" w:hAnsi="方正仿宋简体" w:eastAsia="方正仿宋简体" w:cs="方正仿宋简体"/>
                <w:color w:val="auto"/>
                <w:spacing w:val="7"/>
                <w:sz w:val="24"/>
                <w:szCs w:val="24"/>
                <w:highlight w:val="none"/>
              </w:rPr>
            </w:pPr>
            <w:r>
              <w:rPr>
                <w:rFonts w:hint="eastAsia" w:ascii="方正仿宋简体" w:hAnsi="方正仿宋简体" w:eastAsia="方正仿宋简体" w:cs="方正仿宋简体"/>
                <w:color w:val="auto"/>
                <w:spacing w:val="7"/>
                <w:sz w:val="24"/>
                <w:szCs w:val="24"/>
                <w:highlight w:val="none"/>
              </w:rPr>
              <w:t>第十</w:t>
            </w:r>
            <w:r>
              <w:rPr>
                <w:rFonts w:hint="eastAsia" w:ascii="方正仿宋简体" w:hAnsi="方正仿宋简体" w:eastAsia="方正仿宋简体" w:cs="方正仿宋简体"/>
                <w:color w:val="auto"/>
                <w:spacing w:val="7"/>
                <w:sz w:val="24"/>
                <w:szCs w:val="24"/>
                <w:highlight w:val="none"/>
                <w:lang w:val="en-US" w:eastAsia="zh-CN"/>
              </w:rPr>
              <w:t>三</w:t>
            </w:r>
            <w:r>
              <w:rPr>
                <w:rFonts w:hint="eastAsia" w:ascii="方正仿宋简体" w:hAnsi="方正仿宋简体" w:eastAsia="方正仿宋简体" w:cs="方正仿宋简体"/>
                <w:color w:val="auto"/>
                <w:spacing w:val="7"/>
                <w:sz w:val="24"/>
                <w:szCs w:val="24"/>
                <w:highlight w:val="none"/>
              </w:rPr>
              <w:t>届“我的中国梦”南京市少儿才艺展演，线下活动开展7</w:t>
            </w:r>
            <w:r>
              <w:rPr>
                <w:rFonts w:hint="eastAsia" w:ascii="方正仿宋简体" w:hAnsi="方正仿宋简体" w:eastAsia="方正仿宋简体" w:cs="方正仿宋简体"/>
                <w:color w:val="auto"/>
                <w:spacing w:val="7"/>
                <w:sz w:val="24"/>
                <w:szCs w:val="24"/>
                <w:highlight w:val="none"/>
                <w:lang w:val="en-US" w:eastAsia="zh-CN"/>
              </w:rPr>
              <w:t>2</w:t>
            </w:r>
            <w:r>
              <w:rPr>
                <w:rFonts w:hint="eastAsia" w:ascii="方正仿宋简体" w:hAnsi="方正仿宋简体" w:eastAsia="方正仿宋简体" w:cs="方正仿宋简体"/>
                <w:color w:val="auto"/>
                <w:spacing w:val="7"/>
                <w:sz w:val="24"/>
                <w:szCs w:val="24"/>
                <w:highlight w:val="none"/>
              </w:rPr>
              <w:t>场。</w:t>
            </w:r>
          </w:p>
          <w:p w14:paraId="32DC5C83">
            <w:pPr>
              <w:numPr>
                <w:ilvl w:val="0"/>
                <w:numId w:val="3"/>
              </w:numPr>
              <w:spacing w:line="360" w:lineRule="exact"/>
              <w:rPr>
                <w:rFonts w:hint="eastAsia" w:ascii="方正仿宋简体" w:hAnsi="方正仿宋简体" w:eastAsia="方正仿宋简体" w:cs="方正仿宋简体"/>
                <w:color w:val="auto"/>
                <w:spacing w:val="7"/>
                <w:sz w:val="24"/>
                <w:szCs w:val="24"/>
                <w:highlight w:val="none"/>
              </w:rPr>
            </w:pPr>
            <w:r>
              <w:rPr>
                <w:rFonts w:hint="eastAsia" w:ascii="方正仿宋简体" w:hAnsi="方正仿宋简体" w:eastAsia="方正仿宋简体" w:cs="方正仿宋简体"/>
                <w:color w:val="auto"/>
                <w:kern w:val="0"/>
                <w:sz w:val="24"/>
                <w:szCs w:val="24"/>
                <w:highlight w:val="none"/>
              </w:rPr>
              <w:t>承办全国青少年传统体育项目江苏区域活动。</w:t>
            </w:r>
          </w:p>
          <w:p w14:paraId="7D5B6924">
            <w:pPr>
              <w:numPr>
                <w:ilvl w:val="0"/>
                <w:numId w:val="3"/>
              </w:numPr>
              <w:spacing w:line="360" w:lineRule="exact"/>
              <w:rPr>
                <w:rFonts w:hint="eastAsia" w:ascii="方正仿宋简体" w:hAnsi="方正仿宋简体" w:eastAsia="方正仿宋简体" w:cs="方正仿宋简体"/>
                <w:color w:val="auto"/>
                <w:spacing w:val="7"/>
                <w:sz w:val="24"/>
                <w:szCs w:val="24"/>
                <w:highlight w:val="none"/>
              </w:rPr>
            </w:pPr>
            <w:r>
              <w:rPr>
                <w:rFonts w:hint="eastAsia" w:ascii="方正仿宋简体" w:hAnsi="方正仿宋简体" w:eastAsia="方正仿宋简体" w:cs="方正仿宋简体"/>
                <w:color w:val="auto"/>
                <w:spacing w:val="7"/>
                <w:sz w:val="24"/>
                <w:szCs w:val="24"/>
                <w:highlight w:val="none"/>
              </w:rPr>
              <w:t>承办阳光体育节棋类活动，汇聚围棋、象棋、国际象棋等传统棋类以及五子棋、国际跳棋等推广棋类项目。</w:t>
            </w:r>
          </w:p>
          <w:p w14:paraId="28E9C709">
            <w:pPr>
              <w:numPr>
                <w:ilvl w:val="0"/>
                <w:numId w:val="3"/>
              </w:numPr>
              <w:spacing w:line="360" w:lineRule="exact"/>
              <w:rPr>
                <w:rFonts w:hint="eastAsia" w:ascii="方正仿宋简体" w:hAnsi="方正仿宋简体" w:eastAsia="方正仿宋简体" w:cs="方正仿宋简体"/>
                <w:color w:val="auto"/>
                <w:spacing w:val="7"/>
                <w:sz w:val="24"/>
                <w:szCs w:val="24"/>
                <w:highlight w:val="none"/>
              </w:rPr>
            </w:pPr>
            <w:r>
              <w:rPr>
                <w:rFonts w:hint="eastAsia" w:ascii="方正仿宋简体" w:hAnsi="方正仿宋简体" w:eastAsia="方正仿宋简体" w:cs="方正仿宋简体"/>
                <w:color w:val="auto"/>
                <w:spacing w:val="7"/>
                <w:sz w:val="24"/>
                <w:szCs w:val="24"/>
                <w:highlight w:val="none"/>
                <w:lang w:val="en-US" w:eastAsia="zh-CN"/>
              </w:rPr>
              <w:t>“儿童友好与宁同行”公益研学26场</w:t>
            </w:r>
            <w:r>
              <w:rPr>
                <w:rFonts w:hint="eastAsia" w:ascii="方正仿宋简体" w:hAnsi="方正仿宋简体" w:eastAsia="方正仿宋简体" w:cs="方正仿宋简体"/>
                <w:color w:val="auto"/>
                <w:spacing w:val="7"/>
                <w:sz w:val="24"/>
                <w:szCs w:val="24"/>
                <w:highlight w:val="none"/>
              </w:rPr>
              <w:t>，</w:t>
            </w:r>
            <w:r>
              <w:rPr>
                <w:rFonts w:hint="eastAsia" w:ascii="方正仿宋简体" w:hAnsi="方正仿宋简体" w:eastAsia="方正仿宋简体" w:cs="方正仿宋简体"/>
                <w:color w:val="auto"/>
                <w:spacing w:val="7"/>
                <w:sz w:val="24"/>
                <w:szCs w:val="24"/>
                <w:highlight w:val="none"/>
                <w:lang w:val="en-US" w:eastAsia="zh-CN"/>
              </w:rPr>
              <w:t>试点5</w:t>
            </w:r>
            <w:r>
              <w:rPr>
                <w:rFonts w:hint="eastAsia" w:ascii="方正仿宋简体" w:hAnsi="方正仿宋简体" w:eastAsia="方正仿宋简体" w:cs="方正仿宋简体"/>
                <w:color w:val="auto"/>
                <w:spacing w:val="7"/>
                <w:sz w:val="24"/>
                <w:szCs w:val="24"/>
                <w:highlight w:val="none"/>
              </w:rPr>
              <w:t>条研学路线，并于</w:t>
            </w:r>
            <w:r>
              <w:rPr>
                <w:rFonts w:hint="eastAsia" w:ascii="方正仿宋简体" w:hAnsi="方正仿宋简体" w:eastAsia="方正仿宋简体" w:cs="方正仿宋简体"/>
                <w:color w:val="auto"/>
                <w:spacing w:val="7"/>
                <w:sz w:val="24"/>
                <w:szCs w:val="24"/>
                <w:highlight w:val="none"/>
                <w:lang w:eastAsia="zh-CN"/>
              </w:rPr>
              <w:t>2025</w:t>
            </w:r>
            <w:r>
              <w:rPr>
                <w:rFonts w:hint="eastAsia" w:ascii="方正仿宋简体" w:hAnsi="方正仿宋简体" w:eastAsia="方正仿宋简体" w:cs="方正仿宋简体"/>
                <w:color w:val="auto"/>
                <w:spacing w:val="7"/>
                <w:sz w:val="24"/>
                <w:szCs w:val="24"/>
                <w:highlight w:val="none"/>
              </w:rPr>
              <w:t>年暑期后组织开展22场研学活动。</w:t>
            </w:r>
          </w:p>
          <w:p w14:paraId="58E041DA">
            <w:pPr>
              <w:numPr>
                <w:ilvl w:val="0"/>
                <w:numId w:val="3"/>
              </w:numPr>
              <w:spacing w:line="360" w:lineRule="exact"/>
              <w:rPr>
                <w:rFonts w:hint="eastAsia" w:ascii="方正仿宋简体" w:hAnsi="方正仿宋简体" w:eastAsia="方正仿宋简体" w:cs="方正仿宋简体"/>
                <w:color w:val="auto"/>
                <w:spacing w:val="7"/>
                <w:sz w:val="24"/>
                <w:szCs w:val="24"/>
                <w:highlight w:val="none"/>
              </w:rPr>
            </w:pPr>
            <w:r>
              <w:rPr>
                <w:rFonts w:hint="eastAsia" w:ascii="方正仿宋简体" w:hAnsi="方正仿宋简体" w:eastAsia="方正仿宋简体" w:cs="方正仿宋简体"/>
                <w:color w:val="auto"/>
                <w:spacing w:val="7"/>
                <w:sz w:val="24"/>
                <w:szCs w:val="24"/>
                <w:highlight w:val="none"/>
              </w:rPr>
              <w:t>在市妇联指导下，家庭教育指导项目深入城乡社区（村）、学校、企事业单位开展家庭教育指导巡讲</w:t>
            </w:r>
            <w:r>
              <w:rPr>
                <w:rFonts w:hint="eastAsia" w:ascii="方正仿宋简体" w:hAnsi="方正仿宋简体" w:eastAsia="方正仿宋简体" w:cs="方正仿宋简体"/>
                <w:color w:val="auto"/>
                <w:spacing w:val="7"/>
                <w:sz w:val="24"/>
                <w:szCs w:val="24"/>
                <w:highlight w:val="none"/>
                <w:lang w:val="en-US" w:eastAsia="zh-CN"/>
              </w:rPr>
              <w:t>124</w:t>
            </w:r>
            <w:r>
              <w:rPr>
                <w:rFonts w:hint="eastAsia" w:ascii="方正仿宋简体" w:hAnsi="方正仿宋简体" w:eastAsia="方正仿宋简体" w:cs="方正仿宋简体"/>
                <w:color w:val="auto"/>
                <w:spacing w:val="7"/>
                <w:sz w:val="24"/>
                <w:szCs w:val="24"/>
                <w:highlight w:val="none"/>
              </w:rPr>
              <w:t>场。</w:t>
            </w:r>
          </w:p>
          <w:p w14:paraId="24F5FF47">
            <w:pPr>
              <w:numPr>
                <w:ilvl w:val="0"/>
                <w:numId w:val="3"/>
              </w:numPr>
              <w:spacing w:line="360" w:lineRule="exact"/>
              <w:rPr>
                <w:rFonts w:hint="eastAsia" w:ascii="方正仿宋简体" w:hAnsi="方正仿宋简体" w:eastAsia="方正仿宋简体" w:cs="方正仿宋简体"/>
                <w:color w:val="auto"/>
                <w:spacing w:val="7"/>
                <w:sz w:val="24"/>
                <w:szCs w:val="24"/>
                <w:highlight w:val="none"/>
              </w:rPr>
            </w:pPr>
            <w:r>
              <w:rPr>
                <w:rFonts w:hint="eastAsia" w:ascii="方正仿宋简体" w:hAnsi="方正仿宋简体" w:eastAsia="方正仿宋简体" w:cs="方正仿宋简体"/>
                <w:color w:val="auto"/>
                <w:spacing w:val="7"/>
                <w:sz w:val="24"/>
                <w:szCs w:val="24"/>
                <w:highlight w:val="none"/>
              </w:rPr>
              <w:t>中心学员受邀参加北京卫视六一晚会演出，受到有关领导的充分肯定</w:t>
            </w:r>
            <w:r>
              <w:rPr>
                <w:rFonts w:hint="eastAsia" w:ascii="方正仿宋简体" w:hAnsi="方正仿宋简体" w:eastAsia="方正仿宋简体" w:cs="方正仿宋简体"/>
                <w:color w:val="auto"/>
                <w:spacing w:val="7"/>
                <w:sz w:val="24"/>
                <w:szCs w:val="24"/>
                <w:highlight w:val="none"/>
                <w:lang w:eastAsia="zh-CN"/>
              </w:rPr>
              <w:t>。</w:t>
            </w:r>
          </w:p>
          <w:p w14:paraId="47252715">
            <w:pPr>
              <w:numPr>
                <w:ilvl w:val="0"/>
                <w:numId w:val="3"/>
              </w:numPr>
              <w:spacing w:line="360" w:lineRule="exact"/>
              <w:rPr>
                <w:rFonts w:hint="eastAsia" w:ascii="方正仿宋简体" w:hAnsi="方正仿宋简体" w:eastAsia="方正仿宋简体" w:cs="方正仿宋简体"/>
                <w:color w:val="auto"/>
                <w:spacing w:val="7"/>
                <w:sz w:val="24"/>
                <w:szCs w:val="24"/>
                <w:highlight w:val="none"/>
              </w:rPr>
            </w:pPr>
            <w:r>
              <w:rPr>
                <w:rFonts w:hint="eastAsia" w:ascii="方正仿宋简体" w:hAnsi="方正仿宋简体" w:eastAsia="方正仿宋简体" w:cs="方正仿宋简体"/>
                <w:color w:val="auto"/>
                <w:spacing w:val="7"/>
                <w:sz w:val="24"/>
                <w:szCs w:val="24"/>
                <w:highlight w:val="none"/>
              </w:rPr>
              <w:t>10月18日中心组织的300名学员受邀参与“苏超”半决赛南京与泰州的赛前演出，让6万余名现场观众在感受足球激情的同时，沉浸式体验南京儿童友好城市建设的鲜活成果</w:t>
            </w:r>
          </w:p>
          <w:p w14:paraId="111BDD7F">
            <w:pPr>
              <w:spacing w:line="340" w:lineRule="exact"/>
              <w:jc w:val="left"/>
              <w:rPr>
                <w:rFonts w:hint="eastAsia" w:ascii="方正仿宋简体" w:hAnsi="方正仿宋简体" w:eastAsia="方正仿宋简体" w:cs="方正仿宋简体"/>
                <w:color w:val="auto"/>
                <w:spacing w:val="7"/>
                <w:sz w:val="24"/>
                <w:szCs w:val="24"/>
                <w:highlight w:val="none"/>
              </w:rPr>
            </w:pPr>
            <w:r>
              <w:rPr>
                <w:rFonts w:hint="eastAsia" w:ascii="方正仿宋简体" w:hAnsi="方正仿宋简体" w:eastAsia="方正仿宋简体" w:cs="方正仿宋简体"/>
                <w:color w:val="auto"/>
                <w:spacing w:val="7"/>
                <w:sz w:val="24"/>
                <w:szCs w:val="24"/>
                <w:highlight w:val="none"/>
                <w:lang w:val="en-US" w:eastAsia="zh-CN"/>
              </w:rPr>
              <w:t>8、</w:t>
            </w:r>
            <w:r>
              <w:rPr>
                <w:rFonts w:hint="eastAsia" w:ascii="方正仿宋简体" w:hAnsi="方正仿宋简体" w:eastAsia="方正仿宋简体" w:cs="方正仿宋简体"/>
                <w:color w:val="auto"/>
                <w:spacing w:val="7"/>
                <w:sz w:val="24"/>
                <w:szCs w:val="24"/>
                <w:highlight w:val="none"/>
              </w:rPr>
              <w:t>各项活动总参与人次超</w:t>
            </w:r>
            <w:r>
              <w:rPr>
                <w:rFonts w:hint="eastAsia" w:ascii="方正仿宋简体" w:hAnsi="方正仿宋简体" w:eastAsia="方正仿宋简体" w:cs="方正仿宋简体"/>
                <w:color w:val="auto"/>
                <w:spacing w:val="7"/>
                <w:sz w:val="24"/>
                <w:szCs w:val="24"/>
                <w:highlight w:val="none"/>
                <w:lang w:val="en-US" w:eastAsia="zh-CN"/>
              </w:rPr>
              <w:t>5</w:t>
            </w:r>
            <w:r>
              <w:rPr>
                <w:rFonts w:hint="eastAsia" w:ascii="方正仿宋简体" w:hAnsi="方正仿宋简体" w:eastAsia="方正仿宋简体" w:cs="方正仿宋简体"/>
                <w:color w:val="auto"/>
                <w:spacing w:val="7"/>
                <w:sz w:val="24"/>
                <w:szCs w:val="24"/>
                <w:highlight w:val="none"/>
              </w:rPr>
              <w:t>万人。</w:t>
            </w:r>
          </w:p>
        </w:tc>
      </w:tr>
      <w:tr w14:paraId="6DAD0457">
        <w:tblPrEx>
          <w:tblCellMar>
            <w:top w:w="0" w:type="dxa"/>
            <w:left w:w="108" w:type="dxa"/>
            <w:bottom w:w="0" w:type="dxa"/>
            <w:right w:w="108" w:type="dxa"/>
          </w:tblCellMar>
        </w:tblPrEx>
        <w:trPr>
          <w:trHeight w:val="5323" w:hRule="atLeast"/>
          <w:jc w:val="center"/>
        </w:trPr>
        <w:tc>
          <w:tcPr>
            <w:tcW w:w="118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96B897F">
            <w:pPr>
              <w:spacing w:line="360" w:lineRule="exact"/>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D履职绩效（20分）</w:t>
            </w:r>
          </w:p>
        </w:tc>
        <w:tc>
          <w:tcPr>
            <w:tcW w:w="121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6A6BCAD">
            <w:pPr>
              <w:spacing w:line="360" w:lineRule="exact"/>
              <w:jc w:val="left"/>
              <w:rPr>
                <w:rFonts w:hint="eastAsia" w:ascii="方正仿宋简体" w:hAnsi="方正仿宋简体" w:eastAsia="方正仿宋简体" w:cs="方正仿宋简体"/>
                <w:color w:val="auto"/>
                <w:kern w:val="0"/>
                <w:sz w:val="24"/>
                <w:szCs w:val="24"/>
                <w:highlight w:val="none"/>
              </w:rPr>
            </w:pPr>
          </w:p>
        </w:tc>
        <w:tc>
          <w:tcPr>
            <w:tcW w:w="14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6270803">
            <w:pPr>
              <w:spacing w:line="360" w:lineRule="exac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D12持续完善中心全年龄段服务体系</w:t>
            </w:r>
          </w:p>
        </w:tc>
        <w:tc>
          <w:tcPr>
            <w:tcW w:w="6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6888DD">
            <w:pPr>
              <w:spacing w:line="360" w:lineRule="exact"/>
              <w:jc w:val="center"/>
              <w:rPr>
                <w:rFonts w:hint="default" w:ascii="方正仿宋简体" w:hAnsi="方正仿宋简体" w:eastAsia="方正仿宋简体" w:cs="方正仿宋简体"/>
                <w:color w:val="auto"/>
                <w:kern w:val="0"/>
                <w:sz w:val="24"/>
                <w:szCs w:val="24"/>
                <w:highlight w:val="none"/>
                <w:lang w:val="en-US" w:eastAsia="zh-CN"/>
              </w:rPr>
            </w:pPr>
            <w:r>
              <w:rPr>
                <w:rFonts w:hint="eastAsia" w:ascii="方正仿宋简体" w:hAnsi="方正仿宋简体" w:eastAsia="方正仿宋简体" w:cs="方正仿宋简体"/>
                <w:color w:val="auto"/>
                <w:kern w:val="0"/>
                <w:sz w:val="24"/>
                <w:szCs w:val="24"/>
                <w:highlight w:val="none"/>
                <w:lang w:val="en-US" w:eastAsia="zh-CN"/>
              </w:rPr>
              <w:t>10</w:t>
            </w:r>
          </w:p>
        </w:tc>
        <w:tc>
          <w:tcPr>
            <w:tcW w:w="1112" w:type="dxa"/>
            <w:tcBorders>
              <w:top w:val="single" w:color="auto" w:sz="4" w:space="0"/>
              <w:left w:val="nil"/>
              <w:bottom w:val="single" w:color="auto" w:sz="4" w:space="0"/>
              <w:right w:val="single" w:color="auto" w:sz="4" w:space="0"/>
            </w:tcBorders>
            <w:shd w:val="clear" w:color="auto" w:fill="auto"/>
            <w:noWrap/>
            <w:vAlign w:val="center"/>
          </w:tcPr>
          <w:p w14:paraId="134DC10F">
            <w:pPr>
              <w:spacing w:line="360" w:lineRule="exac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增强</w:t>
            </w:r>
          </w:p>
        </w:tc>
        <w:tc>
          <w:tcPr>
            <w:tcW w:w="2589" w:type="dxa"/>
            <w:tcBorders>
              <w:top w:val="single" w:color="auto" w:sz="4" w:space="0"/>
              <w:left w:val="nil"/>
              <w:bottom w:val="single" w:color="auto" w:sz="4" w:space="0"/>
              <w:right w:val="single" w:color="auto" w:sz="4" w:space="0"/>
            </w:tcBorders>
            <w:shd w:val="clear" w:color="auto" w:fill="auto"/>
            <w:noWrap w:val="0"/>
            <w:vAlign w:val="center"/>
          </w:tcPr>
          <w:p w14:paraId="2602EE6E">
            <w:pPr>
              <w:spacing w:line="360" w:lineRule="exact"/>
              <w:rPr>
                <w:rFonts w:hint="eastAsia" w:ascii="方正仿宋简体" w:hAnsi="方正仿宋简体" w:eastAsia="方正仿宋简体" w:cs="方正仿宋简体"/>
                <w:color w:val="auto"/>
                <w:kern w:val="0"/>
                <w:sz w:val="24"/>
                <w:szCs w:val="24"/>
                <w:highlight w:val="none"/>
              </w:rPr>
            </w:pPr>
          </w:p>
          <w:p w14:paraId="48BBBDF1">
            <w:pPr>
              <w:spacing w:line="360" w:lineRule="exact"/>
              <w:rPr>
                <w:rFonts w:hint="eastAsia" w:ascii="方正仿宋简体" w:hAnsi="方正仿宋简体" w:eastAsia="方正仿宋简体" w:cs="方正仿宋简体"/>
                <w:color w:val="auto"/>
                <w:kern w:val="0"/>
                <w:sz w:val="24"/>
                <w:szCs w:val="24"/>
                <w:highlight w:val="none"/>
                <w:lang w:val="en-US" w:eastAsia="zh-CN"/>
              </w:rPr>
            </w:pPr>
            <w:r>
              <w:rPr>
                <w:rFonts w:hint="eastAsia" w:ascii="方正仿宋简体" w:hAnsi="方正仿宋简体" w:eastAsia="方正仿宋简体" w:cs="方正仿宋简体"/>
                <w:color w:val="auto"/>
                <w:kern w:val="0"/>
                <w:sz w:val="24"/>
                <w:szCs w:val="24"/>
                <w:highlight w:val="none"/>
              </w:rPr>
              <w:t>主要考核中心</w:t>
            </w:r>
            <w:r>
              <w:rPr>
                <w:rFonts w:hint="eastAsia" w:ascii="方正仿宋简体" w:hAnsi="方正仿宋简体" w:eastAsia="方正仿宋简体" w:cs="方正仿宋简体"/>
                <w:color w:val="auto"/>
                <w:kern w:val="0"/>
                <w:sz w:val="24"/>
                <w:szCs w:val="24"/>
                <w:highlight w:val="none"/>
                <w:lang w:val="en-US" w:eastAsia="zh-CN"/>
              </w:rPr>
              <w:t>深化</w:t>
            </w:r>
            <w:r>
              <w:rPr>
                <w:rFonts w:hint="eastAsia" w:ascii="方正仿宋简体" w:hAnsi="方正仿宋简体" w:eastAsia="方正仿宋简体" w:cs="方正仿宋简体"/>
                <w:color w:val="auto"/>
                <w:kern w:val="0"/>
                <w:sz w:val="24"/>
                <w:szCs w:val="24"/>
                <w:highlight w:val="none"/>
              </w:rPr>
              <w:t>“一老一小”全龄段</w:t>
            </w:r>
            <w:r>
              <w:rPr>
                <w:rFonts w:hint="eastAsia" w:ascii="方正仿宋简体" w:hAnsi="方正仿宋简体" w:eastAsia="方正仿宋简体" w:cs="方正仿宋简体"/>
                <w:color w:val="auto"/>
                <w:kern w:val="0"/>
                <w:sz w:val="24"/>
                <w:szCs w:val="24"/>
                <w:highlight w:val="none"/>
                <w:lang w:val="en-US" w:eastAsia="zh-CN"/>
              </w:rPr>
              <w:t>培训服务</w:t>
            </w:r>
            <w:r>
              <w:rPr>
                <w:rFonts w:hint="eastAsia" w:ascii="方正仿宋简体" w:hAnsi="方正仿宋简体" w:eastAsia="方正仿宋简体" w:cs="方正仿宋简体"/>
                <w:color w:val="auto"/>
                <w:kern w:val="0"/>
                <w:sz w:val="24"/>
                <w:szCs w:val="24"/>
                <w:highlight w:val="none"/>
              </w:rPr>
              <w:t>需求，多种类</w:t>
            </w:r>
            <w:r>
              <w:rPr>
                <w:rFonts w:hint="eastAsia" w:ascii="方正仿宋简体" w:hAnsi="方正仿宋简体" w:eastAsia="方正仿宋简体" w:cs="方正仿宋简体"/>
                <w:color w:val="auto"/>
                <w:kern w:val="0"/>
                <w:sz w:val="24"/>
                <w:szCs w:val="24"/>
                <w:highlight w:val="none"/>
                <w:lang w:eastAsia="zh-CN"/>
              </w:rPr>
              <w:t>，</w:t>
            </w:r>
            <w:r>
              <w:rPr>
                <w:rFonts w:hint="eastAsia" w:ascii="方正仿宋简体" w:hAnsi="方正仿宋简体" w:eastAsia="方正仿宋简体" w:cs="方正仿宋简体"/>
                <w:color w:val="auto"/>
                <w:kern w:val="0"/>
                <w:sz w:val="24"/>
                <w:szCs w:val="24"/>
                <w:highlight w:val="none"/>
                <w:lang w:val="en-US" w:eastAsia="zh-CN"/>
              </w:rPr>
              <w:t>多层次搭建优化</w:t>
            </w:r>
            <w:r>
              <w:rPr>
                <w:rFonts w:hint="eastAsia" w:ascii="方正仿宋简体" w:hAnsi="方正仿宋简体" w:eastAsia="方正仿宋简体" w:cs="方正仿宋简体"/>
                <w:color w:val="auto"/>
                <w:kern w:val="0"/>
                <w:sz w:val="24"/>
                <w:szCs w:val="24"/>
                <w:highlight w:val="none"/>
              </w:rPr>
              <w:t>培训课程体系，提供全面综合的培训服务。</w:t>
            </w:r>
          </w:p>
        </w:tc>
        <w:tc>
          <w:tcPr>
            <w:tcW w:w="2160" w:type="dxa"/>
            <w:tcBorders>
              <w:top w:val="single" w:color="auto" w:sz="4" w:space="0"/>
              <w:left w:val="nil"/>
              <w:bottom w:val="single" w:color="auto" w:sz="4" w:space="0"/>
              <w:right w:val="single" w:color="auto" w:sz="4" w:space="0"/>
            </w:tcBorders>
            <w:shd w:val="clear" w:color="auto" w:fill="auto"/>
            <w:noWrap w:val="0"/>
            <w:vAlign w:val="center"/>
          </w:tcPr>
          <w:p w14:paraId="3DBFE083">
            <w:pPr>
              <w:numPr>
                <w:ilvl w:val="0"/>
                <w:numId w:val="4"/>
              </w:numPr>
              <w:spacing w:line="360" w:lineRule="exac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lang w:val="en-US" w:eastAsia="zh-CN"/>
              </w:rPr>
              <w:t>优化课程体系，完善课程种类得3分</w:t>
            </w:r>
            <w:r>
              <w:rPr>
                <w:rFonts w:hint="eastAsia" w:ascii="方正仿宋简体" w:hAnsi="方正仿宋简体" w:eastAsia="方正仿宋简体" w:cs="方正仿宋简体"/>
                <w:color w:val="auto"/>
                <w:kern w:val="0"/>
                <w:sz w:val="24"/>
                <w:szCs w:val="24"/>
                <w:highlight w:val="none"/>
              </w:rPr>
              <w:t>；2、</w:t>
            </w:r>
            <w:r>
              <w:rPr>
                <w:rFonts w:hint="eastAsia" w:ascii="方正仿宋简体" w:hAnsi="方正仿宋简体" w:eastAsia="方正仿宋简体" w:cs="方正仿宋简体"/>
                <w:color w:val="auto"/>
                <w:kern w:val="0"/>
                <w:sz w:val="24"/>
                <w:szCs w:val="24"/>
                <w:highlight w:val="none"/>
                <w:lang w:val="en-US" w:eastAsia="zh-CN"/>
              </w:rPr>
              <w:t>打造培训成果展示平台，提供多元化展示途径得3分，3、参与培训人次大于8000人得4分</w:t>
            </w:r>
            <w:r>
              <w:rPr>
                <w:rFonts w:hint="eastAsia" w:ascii="方正仿宋简体" w:hAnsi="方正仿宋简体" w:eastAsia="方正仿宋简体" w:cs="方正仿宋简体"/>
                <w:color w:val="auto"/>
                <w:kern w:val="0"/>
                <w:sz w:val="24"/>
                <w:szCs w:val="24"/>
                <w:highlight w:val="none"/>
              </w:rPr>
              <w:t>。</w:t>
            </w:r>
          </w:p>
        </w:tc>
        <w:tc>
          <w:tcPr>
            <w:tcW w:w="900" w:type="dxa"/>
            <w:tcBorders>
              <w:top w:val="single" w:color="auto" w:sz="4" w:space="0"/>
              <w:left w:val="nil"/>
              <w:bottom w:val="single" w:color="auto" w:sz="4" w:space="0"/>
              <w:right w:val="single" w:color="auto" w:sz="4" w:space="0"/>
            </w:tcBorders>
            <w:shd w:val="clear" w:color="auto" w:fill="auto"/>
            <w:noWrap w:val="0"/>
            <w:vAlign w:val="center"/>
          </w:tcPr>
          <w:p w14:paraId="318A0C9C">
            <w:pPr>
              <w:spacing w:line="360" w:lineRule="exact"/>
              <w:ind w:firstLine="240" w:firstLineChars="100"/>
              <w:rPr>
                <w:rFonts w:hint="default" w:ascii="方正仿宋简体" w:hAnsi="方正仿宋简体" w:eastAsia="方正仿宋简体" w:cs="方正仿宋简体"/>
                <w:color w:val="auto"/>
                <w:kern w:val="0"/>
                <w:sz w:val="24"/>
                <w:szCs w:val="24"/>
                <w:highlight w:val="none"/>
                <w:lang w:val="en-US" w:eastAsia="zh-CN"/>
              </w:rPr>
            </w:pPr>
            <w:r>
              <w:rPr>
                <w:rFonts w:hint="eastAsia" w:ascii="方正仿宋简体" w:hAnsi="方正仿宋简体" w:eastAsia="方正仿宋简体" w:cs="方正仿宋简体"/>
                <w:color w:val="auto"/>
                <w:kern w:val="0"/>
                <w:sz w:val="24"/>
                <w:szCs w:val="24"/>
                <w:highlight w:val="none"/>
                <w:shd w:val="clear"/>
                <w:lang w:val="en-US" w:eastAsia="zh-CN"/>
              </w:rPr>
              <w:t>10</w:t>
            </w:r>
          </w:p>
        </w:tc>
        <w:tc>
          <w:tcPr>
            <w:tcW w:w="3741" w:type="dxa"/>
            <w:gridSpan w:val="2"/>
            <w:tcBorders>
              <w:top w:val="single" w:color="auto" w:sz="4" w:space="0"/>
              <w:left w:val="nil"/>
              <w:bottom w:val="single" w:color="auto" w:sz="4" w:space="0"/>
              <w:right w:val="single" w:color="auto" w:sz="4" w:space="0"/>
            </w:tcBorders>
            <w:shd w:val="clear" w:color="auto" w:fill="auto"/>
            <w:noWrap w:val="0"/>
            <w:vAlign w:val="top"/>
          </w:tcPr>
          <w:p w14:paraId="75F2483F">
            <w:pPr>
              <w:numPr>
                <w:ilvl w:val="0"/>
                <w:numId w:val="5"/>
              </w:numPr>
              <w:spacing w:line="360" w:lineRule="exact"/>
              <w:rPr>
                <w:rFonts w:hint="eastAsia" w:ascii="方正仿宋简体" w:hAnsi="方正仿宋简体" w:eastAsia="方正仿宋简体" w:cs="方正仿宋简体"/>
                <w:color w:val="auto"/>
                <w:kern w:val="0"/>
                <w:sz w:val="24"/>
                <w:szCs w:val="24"/>
                <w:highlight w:val="none"/>
                <w:lang w:val="en-US" w:eastAsia="zh-CN"/>
              </w:rPr>
            </w:pPr>
            <w:r>
              <w:rPr>
                <w:rFonts w:hint="eastAsia" w:ascii="方正仿宋简体" w:hAnsi="方正仿宋简体" w:eastAsia="方正仿宋简体" w:cs="方正仿宋简体"/>
                <w:color w:val="auto"/>
                <w:kern w:val="0"/>
                <w:sz w:val="24"/>
                <w:szCs w:val="24"/>
                <w:highlight w:val="none"/>
                <w:lang w:val="en-US" w:eastAsia="zh-CN"/>
              </w:rPr>
              <w:t>在中心原有课程的基础上，结合全年龄段培训需求，优化课程结构，提供声乐、器乐、舞蹈、美术、科技、体育、综合素养、父母学堂、幸福夜校、银发学堂、帼丽课堂、寒/暑假特色营等多体系课程服务。</w:t>
            </w:r>
          </w:p>
          <w:p w14:paraId="58CBD93E">
            <w:pPr>
              <w:numPr>
                <w:ilvl w:val="0"/>
                <w:numId w:val="5"/>
              </w:numPr>
              <w:spacing w:line="360" w:lineRule="exact"/>
              <w:rPr>
                <w:rFonts w:hint="default" w:ascii="方正仿宋简体" w:hAnsi="方正仿宋简体" w:eastAsia="方正仿宋简体" w:cs="方正仿宋简体"/>
                <w:color w:val="auto"/>
                <w:kern w:val="0"/>
                <w:sz w:val="24"/>
                <w:szCs w:val="24"/>
                <w:highlight w:val="none"/>
                <w:lang w:val="en-US" w:eastAsia="zh-CN"/>
              </w:rPr>
            </w:pPr>
            <w:r>
              <w:rPr>
                <w:rFonts w:hint="default" w:ascii="方正仿宋简体" w:hAnsi="方正仿宋简体" w:eastAsia="方正仿宋简体" w:cs="方正仿宋简体"/>
                <w:color w:val="auto"/>
                <w:kern w:val="0"/>
                <w:sz w:val="24"/>
                <w:szCs w:val="24"/>
                <w:highlight w:val="none"/>
                <w:lang w:val="en-US" w:eastAsia="zh-CN"/>
              </w:rPr>
              <w:t>开展“守护心灵之窗，追逐梦想之光—南京市少年儿童绘画展”</w:t>
            </w:r>
            <w:r>
              <w:rPr>
                <w:rFonts w:hint="eastAsia" w:ascii="方正仿宋简体" w:hAnsi="方正仿宋简体" w:eastAsia="方正仿宋简体" w:cs="方正仿宋简体"/>
                <w:color w:val="auto"/>
                <w:kern w:val="0"/>
                <w:sz w:val="24"/>
                <w:szCs w:val="24"/>
                <w:highlight w:val="none"/>
                <w:lang w:val="en-US" w:eastAsia="zh-CN"/>
              </w:rPr>
              <w:t>、联合金陵图书馆共同开展“2025年阅美‘经典撷珍，万物有灵’少儿诗语动物园有声作品征集活动”、在南艺剧场成功举办“花儿绽放与你同行”舞蹈项目专场演出、12月底举办了“时光知味青春不悔”——2025年紫鲸艺术节银发学堂教学成果展演、携手北京银行南京分行于12月27日在江苏大剧院举办了2026“儿童友好京彩迎新”迎新年音乐会等多场演出。</w:t>
            </w:r>
          </w:p>
          <w:p w14:paraId="678C90B3">
            <w:pPr>
              <w:numPr>
                <w:ilvl w:val="0"/>
                <w:numId w:val="5"/>
              </w:numPr>
              <w:spacing w:line="360" w:lineRule="exact"/>
              <w:rPr>
                <w:rFonts w:hint="default" w:ascii="方正仿宋简体" w:hAnsi="方正仿宋简体" w:eastAsia="方正仿宋简体" w:cs="方正仿宋简体"/>
                <w:color w:val="auto"/>
                <w:kern w:val="0"/>
                <w:sz w:val="24"/>
                <w:szCs w:val="24"/>
                <w:highlight w:val="none"/>
                <w:lang w:val="en-US" w:eastAsia="zh-CN"/>
              </w:rPr>
            </w:pPr>
            <w:r>
              <w:rPr>
                <w:rFonts w:hint="eastAsia" w:ascii="方正仿宋简体" w:hAnsi="方正仿宋简体" w:eastAsia="方正仿宋简体" w:cs="方正仿宋简体"/>
                <w:color w:val="auto"/>
                <w:kern w:val="0"/>
                <w:sz w:val="24"/>
                <w:szCs w:val="24"/>
                <w:highlight w:val="none"/>
                <w:lang w:val="en-US" w:eastAsia="zh-CN"/>
              </w:rPr>
              <w:t>全年全年龄段培训人次超9000人。</w:t>
            </w:r>
          </w:p>
        </w:tc>
      </w:tr>
      <w:tr w14:paraId="451EDE0A">
        <w:tblPrEx>
          <w:shd w:val="clear" w:color="auto" w:fill="auto"/>
          <w:tblCellMar>
            <w:top w:w="0" w:type="dxa"/>
            <w:left w:w="108" w:type="dxa"/>
            <w:bottom w:w="0" w:type="dxa"/>
            <w:right w:w="108" w:type="dxa"/>
          </w:tblCellMar>
        </w:tblPrEx>
        <w:trPr>
          <w:trHeight w:val="981" w:hRule="atLeast"/>
          <w:jc w:val="center"/>
        </w:trPr>
        <w:tc>
          <w:tcPr>
            <w:tcW w:w="118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85B0D1E">
            <w:pPr>
              <w:spacing w:line="360" w:lineRule="exact"/>
              <w:jc w:val="center"/>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E满意度（5分）</w:t>
            </w:r>
          </w:p>
        </w:tc>
        <w:tc>
          <w:tcPr>
            <w:tcW w:w="121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4DA5729">
            <w:pPr>
              <w:spacing w:line="360" w:lineRule="exac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E1服务对象满意度（5分）</w:t>
            </w:r>
          </w:p>
        </w:tc>
        <w:tc>
          <w:tcPr>
            <w:tcW w:w="14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BE94692">
            <w:pPr>
              <w:spacing w:line="360" w:lineRule="exac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E11主要工作满意度</w:t>
            </w:r>
          </w:p>
        </w:tc>
        <w:tc>
          <w:tcPr>
            <w:tcW w:w="6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8CC609">
            <w:pPr>
              <w:spacing w:line="360" w:lineRule="exact"/>
              <w:jc w:val="center"/>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5</w:t>
            </w:r>
          </w:p>
        </w:tc>
        <w:tc>
          <w:tcPr>
            <w:tcW w:w="1112" w:type="dxa"/>
            <w:tcBorders>
              <w:top w:val="single" w:color="auto" w:sz="4" w:space="0"/>
              <w:left w:val="nil"/>
              <w:bottom w:val="single" w:color="auto" w:sz="4" w:space="0"/>
              <w:right w:val="single" w:color="auto" w:sz="4" w:space="0"/>
            </w:tcBorders>
            <w:shd w:val="clear" w:color="auto" w:fill="auto"/>
            <w:noWrap/>
            <w:vAlign w:val="center"/>
          </w:tcPr>
          <w:p w14:paraId="6BB0DE4F">
            <w:pPr>
              <w:spacing w:line="360" w:lineRule="exac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≥90%</w:t>
            </w:r>
          </w:p>
        </w:tc>
        <w:tc>
          <w:tcPr>
            <w:tcW w:w="2589" w:type="dxa"/>
            <w:tcBorders>
              <w:top w:val="single" w:color="auto" w:sz="4" w:space="0"/>
              <w:left w:val="nil"/>
              <w:bottom w:val="single" w:color="auto" w:sz="4" w:space="0"/>
              <w:right w:val="single" w:color="auto" w:sz="4" w:space="0"/>
            </w:tcBorders>
            <w:shd w:val="clear" w:color="auto" w:fill="auto"/>
            <w:noWrap w:val="0"/>
            <w:vAlign w:val="center"/>
          </w:tcPr>
          <w:p w14:paraId="718C15F4">
            <w:pPr>
              <w:spacing w:line="360" w:lineRule="exac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主要考核服务群体对中心工作满意度</w:t>
            </w:r>
          </w:p>
        </w:tc>
        <w:tc>
          <w:tcPr>
            <w:tcW w:w="2160" w:type="dxa"/>
            <w:tcBorders>
              <w:top w:val="single" w:color="auto" w:sz="4" w:space="0"/>
              <w:left w:val="nil"/>
              <w:bottom w:val="single" w:color="auto" w:sz="4" w:space="0"/>
              <w:right w:val="single" w:color="auto" w:sz="4" w:space="0"/>
            </w:tcBorders>
            <w:shd w:val="clear" w:color="auto" w:fill="auto"/>
            <w:noWrap w:val="0"/>
            <w:vAlign w:val="center"/>
          </w:tcPr>
          <w:p w14:paraId="07A9393F">
            <w:pPr>
              <w:spacing w:line="360" w:lineRule="exac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根据</w:t>
            </w:r>
            <w:r>
              <w:rPr>
                <w:rFonts w:hint="eastAsia" w:ascii="方正仿宋简体" w:hAnsi="方正仿宋简体" w:eastAsia="方正仿宋简体" w:cs="方正仿宋简体"/>
                <w:color w:val="auto"/>
                <w:kern w:val="0"/>
                <w:sz w:val="24"/>
                <w:szCs w:val="24"/>
                <w:highlight w:val="none"/>
                <w:lang w:eastAsia="zh-CN"/>
              </w:rPr>
              <w:t>2025</w:t>
            </w:r>
            <w:r>
              <w:rPr>
                <w:rFonts w:hint="eastAsia" w:ascii="方正仿宋简体" w:hAnsi="方正仿宋简体" w:eastAsia="方正仿宋简体" w:cs="方正仿宋简体"/>
                <w:color w:val="auto"/>
                <w:kern w:val="0"/>
                <w:sz w:val="24"/>
                <w:szCs w:val="24"/>
                <w:highlight w:val="none"/>
              </w:rPr>
              <w:t>年度南京市机关作风和行业作风建设满意度评议结果：90分（含）以上得5分，每少1分扣0.5分。</w:t>
            </w:r>
          </w:p>
        </w:tc>
        <w:tc>
          <w:tcPr>
            <w:tcW w:w="900" w:type="dxa"/>
            <w:tcBorders>
              <w:top w:val="single" w:color="auto" w:sz="4" w:space="0"/>
              <w:left w:val="nil"/>
              <w:bottom w:val="single" w:color="auto" w:sz="4" w:space="0"/>
              <w:right w:val="single" w:color="auto" w:sz="4" w:space="0"/>
            </w:tcBorders>
            <w:shd w:val="clear" w:color="auto" w:fill="auto"/>
            <w:noWrap w:val="0"/>
            <w:vAlign w:val="center"/>
          </w:tcPr>
          <w:p w14:paraId="76AADE85">
            <w:pPr>
              <w:spacing w:line="360" w:lineRule="exact"/>
              <w:ind w:firstLine="240" w:firstLineChars="100"/>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5</w:t>
            </w:r>
          </w:p>
        </w:tc>
        <w:tc>
          <w:tcPr>
            <w:tcW w:w="3741" w:type="dxa"/>
            <w:gridSpan w:val="2"/>
            <w:tcBorders>
              <w:top w:val="single" w:color="auto" w:sz="4" w:space="0"/>
              <w:left w:val="nil"/>
              <w:bottom w:val="single" w:color="auto" w:sz="4" w:space="0"/>
              <w:right w:val="single" w:color="auto" w:sz="4" w:space="0"/>
            </w:tcBorders>
            <w:shd w:val="clear" w:color="auto" w:fill="auto"/>
            <w:noWrap w:val="0"/>
            <w:vAlign w:val="top"/>
          </w:tcPr>
          <w:p w14:paraId="0A092F2E">
            <w:pPr>
              <w:spacing w:line="360" w:lineRule="exact"/>
              <w:ind w:firstLine="480"/>
              <w:jc w:val="left"/>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我单位</w:t>
            </w:r>
            <w:r>
              <w:rPr>
                <w:rFonts w:hint="eastAsia" w:ascii="方正仿宋简体" w:hAnsi="方正仿宋简体" w:eastAsia="方正仿宋简体" w:cs="方正仿宋简体"/>
                <w:color w:val="auto"/>
                <w:kern w:val="0"/>
                <w:sz w:val="24"/>
                <w:szCs w:val="24"/>
                <w:highlight w:val="none"/>
                <w:lang w:eastAsia="zh-CN"/>
              </w:rPr>
              <w:t>2025</w:t>
            </w:r>
            <w:r>
              <w:rPr>
                <w:rFonts w:hint="eastAsia" w:ascii="方正仿宋简体" w:hAnsi="方正仿宋简体" w:eastAsia="方正仿宋简体" w:cs="方正仿宋简体"/>
                <w:color w:val="auto"/>
                <w:kern w:val="0"/>
                <w:sz w:val="24"/>
                <w:szCs w:val="24"/>
                <w:highlight w:val="none"/>
              </w:rPr>
              <w:t>年满意度评议：1</w:t>
            </w:r>
            <w:r>
              <w:rPr>
                <w:rFonts w:hint="eastAsia" w:ascii="方正仿宋简体" w:hAnsi="方正仿宋简体" w:eastAsia="方正仿宋简体" w:cs="方正仿宋简体"/>
                <w:color w:val="auto"/>
                <w:sz w:val="24"/>
                <w:szCs w:val="24"/>
                <w:highlight w:val="none"/>
              </w:rPr>
              <w:t>教学培训家长满意度95.</w:t>
            </w:r>
            <w:r>
              <w:rPr>
                <w:rFonts w:hint="eastAsia" w:ascii="方正仿宋简体" w:hAnsi="方正仿宋简体" w:eastAsia="方正仿宋简体" w:cs="方正仿宋简体"/>
                <w:color w:val="auto"/>
                <w:sz w:val="24"/>
                <w:szCs w:val="24"/>
                <w:highlight w:val="none"/>
                <w:lang w:val="en-US" w:eastAsia="zh-CN"/>
              </w:rPr>
              <w:t>44</w:t>
            </w:r>
            <w:r>
              <w:rPr>
                <w:rFonts w:hint="eastAsia" w:ascii="方正仿宋简体" w:hAnsi="方正仿宋简体" w:eastAsia="方正仿宋简体" w:cs="方正仿宋简体"/>
                <w:color w:val="auto"/>
                <w:sz w:val="24"/>
                <w:szCs w:val="24"/>
                <w:highlight w:val="none"/>
              </w:rPr>
              <w:t>%；2、</w:t>
            </w:r>
            <w:r>
              <w:rPr>
                <w:rFonts w:hint="eastAsia" w:ascii="方正仿宋简体" w:hAnsi="方正仿宋简体" w:eastAsia="方正仿宋简体" w:cs="方正仿宋简体"/>
                <w:color w:val="auto"/>
                <w:spacing w:val="7"/>
                <w:sz w:val="24"/>
                <w:szCs w:val="24"/>
                <w:highlight w:val="none"/>
                <w:lang w:val="en-US" w:eastAsia="zh-CN"/>
              </w:rPr>
              <w:t>女性服务项目</w:t>
            </w:r>
            <w:r>
              <w:rPr>
                <w:rFonts w:hint="eastAsia" w:ascii="方正仿宋简体" w:hAnsi="方正仿宋简体" w:eastAsia="方正仿宋简体" w:cs="方正仿宋简体"/>
                <w:color w:val="auto"/>
                <w:spacing w:val="7"/>
                <w:sz w:val="24"/>
                <w:szCs w:val="24"/>
                <w:highlight w:val="none"/>
                <w:lang w:eastAsia="zh-CN"/>
              </w:rPr>
              <w:t>，</w:t>
            </w:r>
            <w:r>
              <w:rPr>
                <w:rFonts w:hint="eastAsia" w:ascii="方正仿宋简体" w:hAnsi="方正仿宋简体" w:eastAsia="方正仿宋简体" w:cs="方正仿宋简体"/>
                <w:color w:val="auto"/>
                <w:spacing w:val="7"/>
                <w:sz w:val="24"/>
                <w:szCs w:val="24"/>
                <w:highlight w:val="none"/>
              </w:rPr>
              <w:t>服务满意度</w:t>
            </w:r>
            <w:r>
              <w:rPr>
                <w:rFonts w:hint="eastAsia" w:ascii="方正仿宋简体" w:hAnsi="方正仿宋简体" w:eastAsia="方正仿宋简体" w:cs="方正仿宋简体"/>
                <w:color w:val="auto"/>
                <w:spacing w:val="7"/>
                <w:sz w:val="24"/>
                <w:szCs w:val="24"/>
                <w:highlight w:val="none"/>
                <w:lang w:val="en-US" w:eastAsia="zh-CN"/>
              </w:rPr>
              <w:t>95</w:t>
            </w:r>
            <w:r>
              <w:rPr>
                <w:rFonts w:hint="eastAsia" w:ascii="方正仿宋简体" w:hAnsi="方正仿宋简体" w:eastAsia="方正仿宋简体" w:cs="方正仿宋简体"/>
                <w:color w:val="auto"/>
                <w:spacing w:val="7"/>
                <w:sz w:val="24"/>
                <w:szCs w:val="24"/>
                <w:highlight w:val="none"/>
              </w:rPr>
              <w:t>%</w:t>
            </w:r>
            <w:r>
              <w:rPr>
                <w:rFonts w:hint="eastAsia" w:ascii="方正仿宋简体" w:hAnsi="方正仿宋简体" w:eastAsia="方正仿宋简体" w:cs="方正仿宋简体"/>
                <w:color w:val="auto"/>
                <w:kern w:val="0"/>
                <w:sz w:val="24"/>
                <w:szCs w:val="24"/>
                <w:highlight w:val="none"/>
              </w:rPr>
              <w:t>。</w:t>
            </w:r>
          </w:p>
        </w:tc>
      </w:tr>
      <w:tr w14:paraId="6C042140">
        <w:tblPrEx>
          <w:tblCellMar>
            <w:top w:w="0" w:type="dxa"/>
            <w:left w:w="108" w:type="dxa"/>
            <w:bottom w:w="0" w:type="dxa"/>
            <w:right w:w="108" w:type="dxa"/>
          </w:tblCellMar>
        </w:tblPrEx>
        <w:trPr>
          <w:trHeight w:val="705" w:hRule="atLeast"/>
          <w:jc w:val="center"/>
        </w:trPr>
        <w:tc>
          <w:tcPr>
            <w:tcW w:w="118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2665D99">
            <w:pPr>
              <w:spacing w:line="360" w:lineRule="exact"/>
              <w:jc w:val="center"/>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合计</w:t>
            </w:r>
          </w:p>
        </w:tc>
        <w:tc>
          <w:tcPr>
            <w:tcW w:w="121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62AEDBB">
            <w:pPr>
              <w:spacing w:line="360" w:lineRule="exact"/>
              <w:jc w:val="left"/>
              <w:rPr>
                <w:rFonts w:hint="eastAsia" w:ascii="方正仿宋简体" w:hAnsi="方正仿宋简体" w:eastAsia="方正仿宋简体" w:cs="方正仿宋简体"/>
                <w:color w:val="auto"/>
                <w:kern w:val="0"/>
                <w:sz w:val="24"/>
                <w:szCs w:val="24"/>
                <w:highlight w:val="none"/>
              </w:rPr>
            </w:pPr>
          </w:p>
        </w:tc>
        <w:tc>
          <w:tcPr>
            <w:tcW w:w="14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16A99B4">
            <w:pPr>
              <w:spacing w:line="360" w:lineRule="exact"/>
              <w:jc w:val="left"/>
              <w:rPr>
                <w:rFonts w:hint="eastAsia" w:ascii="方正仿宋简体" w:hAnsi="方正仿宋简体" w:eastAsia="方正仿宋简体" w:cs="方正仿宋简体"/>
                <w:color w:val="auto"/>
                <w:kern w:val="0"/>
                <w:sz w:val="24"/>
                <w:szCs w:val="24"/>
                <w:highlight w:val="none"/>
              </w:rPr>
            </w:pPr>
          </w:p>
        </w:tc>
        <w:tc>
          <w:tcPr>
            <w:tcW w:w="6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4DE617">
            <w:pPr>
              <w:spacing w:line="360" w:lineRule="exact"/>
              <w:jc w:val="center"/>
              <w:rPr>
                <w:rFonts w:hint="eastAsia" w:ascii="方正仿宋简体" w:hAnsi="方正仿宋简体" w:eastAsia="方正仿宋简体" w:cs="方正仿宋简体"/>
                <w:color w:val="auto"/>
                <w:kern w:val="0"/>
                <w:sz w:val="24"/>
                <w:szCs w:val="24"/>
                <w:highlight w:val="none"/>
              </w:rPr>
            </w:pPr>
            <w:r>
              <w:rPr>
                <w:rFonts w:hint="eastAsia" w:ascii="方正仿宋简体" w:hAnsi="方正仿宋简体" w:eastAsia="方正仿宋简体" w:cs="方正仿宋简体"/>
                <w:color w:val="auto"/>
                <w:kern w:val="0"/>
                <w:sz w:val="24"/>
                <w:szCs w:val="24"/>
                <w:highlight w:val="none"/>
              </w:rPr>
              <w:t>100</w:t>
            </w:r>
          </w:p>
        </w:tc>
        <w:tc>
          <w:tcPr>
            <w:tcW w:w="1112" w:type="dxa"/>
            <w:tcBorders>
              <w:top w:val="single" w:color="auto" w:sz="4" w:space="0"/>
              <w:left w:val="nil"/>
              <w:bottom w:val="single" w:color="auto" w:sz="4" w:space="0"/>
              <w:right w:val="single" w:color="auto" w:sz="4" w:space="0"/>
            </w:tcBorders>
            <w:shd w:val="clear" w:color="auto" w:fill="auto"/>
            <w:noWrap/>
            <w:vAlign w:val="center"/>
          </w:tcPr>
          <w:p w14:paraId="13F19211">
            <w:pPr>
              <w:spacing w:line="360" w:lineRule="exact"/>
              <w:jc w:val="center"/>
              <w:rPr>
                <w:rFonts w:hint="eastAsia" w:ascii="方正仿宋简体" w:hAnsi="方正仿宋简体" w:eastAsia="方正仿宋简体" w:cs="方正仿宋简体"/>
                <w:color w:val="auto"/>
                <w:kern w:val="0"/>
                <w:sz w:val="24"/>
                <w:szCs w:val="24"/>
                <w:highlight w:val="none"/>
              </w:rPr>
            </w:pPr>
          </w:p>
        </w:tc>
        <w:tc>
          <w:tcPr>
            <w:tcW w:w="2589" w:type="dxa"/>
            <w:tcBorders>
              <w:top w:val="single" w:color="auto" w:sz="4" w:space="0"/>
              <w:left w:val="nil"/>
              <w:bottom w:val="single" w:color="auto" w:sz="4" w:space="0"/>
              <w:right w:val="single" w:color="auto" w:sz="4" w:space="0"/>
            </w:tcBorders>
            <w:shd w:val="clear" w:color="auto" w:fill="auto"/>
            <w:noWrap w:val="0"/>
            <w:vAlign w:val="center"/>
          </w:tcPr>
          <w:p w14:paraId="725ED034">
            <w:pPr>
              <w:spacing w:line="360" w:lineRule="exact"/>
              <w:jc w:val="left"/>
              <w:rPr>
                <w:rFonts w:hint="eastAsia" w:ascii="方正仿宋简体" w:hAnsi="方正仿宋简体" w:eastAsia="方正仿宋简体" w:cs="方正仿宋简体"/>
                <w:color w:val="auto"/>
                <w:kern w:val="0"/>
                <w:sz w:val="24"/>
                <w:szCs w:val="24"/>
                <w:highlight w:val="none"/>
              </w:rPr>
            </w:pPr>
          </w:p>
        </w:tc>
        <w:tc>
          <w:tcPr>
            <w:tcW w:w="2160" w:type="dxa"/>
            <w:tcBorders>
              <w:top w:val="single" w:color="auto" w:sz="4" w:space="0"/>
              <w:left w:val="nil"/>
              <w:bottom w:val="single" w:color="auto" w:sz="4" w:space="0"/>
              <w:right w:val="single" w:color="auto" w:sz="4" w:space="0"/>
            </w:tcBorders>
            <w:shd w:val="clear" w:color="auto" w:fill="auto"/>
            <w:noWrap w:val="0"/>
            <w:vAlign w:val="center"/>
          </w:tcPr>
          <w:p w14:paraId="63276081">
            <w:pPr>
              <w:spacing w:line="360" w:lineRule="exact"/>
              <w:jc w:val="left"/>
              <w:rPr>
                <w:rFonts w:hint="eastAsia" w:ascii="方正仿宋简体" w:hAnsi="方正仿宋简体" w:eastAsia="方正仿宋简体" w:cs="方正仿宋简体"/>
                <w:color w:val="auto"/>
                <w:kern w:val="0"/>
                <w:sz w:val="24"/>
                <w:szCs w:val="24"/>
                <w:highlight w:val="none"/>
              </w:rPr>
            </w:pPr>
          </w:p>
        </w:tc>
        <w:tc>
          <w:tcPr>
            <w:tcW w:w="900" w:type="dxa"/>
            <w:tcBorders>
              <w:top w:val="single" w:color="auto" w:sz="4" w:space="0"/>
              <w:left w:val="nil"/>
              <w:bottom w:val="single" w:color="auto" w:sz="4" w:space="0"/>
              <w:right w:val="single" w:color="auto" w:sz="4" w:space="0"/>
            </w:tcBorders>
            <w:shd w:val="clear" w:color="auto" w:fill="auto"/>
            <w:noWrap w:val="0"/>
            <w:vAlign w:val="center"/>
          </w:tcPr>
          <w:p w14:paraId="2DFAD0FF">
            <w:pPr>
              <w:spacing w:line="360" w:lineRule="exact"/>
              <w:jc w:val="center"/>
              <w:rPr>
                <w:rFonts w:hint="default" w:ascii="方正仿宋简体" w:hAnsi="方正仿宋简体" w:eastAsia="方正仿宋简体" w:cs="方正仿宋简体"/>
                <w:color w:val="auto"/>
                <w:kern w:val="0"/>
                <w:sz w:val="24"/>
                <w:szCs w:val="24"/>
                <w:highlight w:val="none"/>
                <w:lang w:val="en-US" w:eastAsia="zh-CN"/>
              </w:rPr>
            </w:pPr>
            <w:r>
              <w:rPr>
                <w:rFonts w:hint="eastAsia" w:ascii="方正仿宋简体" w:hAnsi="方正仿宋简体" w:eastAsia="方正仿宋简体" w:cs="方正仿宋简体"/>
                <w:color w:val="auto"/>
                <w:kern w:val="0"/>
                <w:sz w:val="24"/>
                <w:szCs w:val="24"/>
                <w:highlight w:val="none"/>
              </w:rPr>
              <w:t>99.</w:t>
            </w:r>
            <w:r>
              <w:rPr>
                <w:rFonts w:hint="eastAsia" w:ascii="方正仿宋简体" w:hAnsi="方正仿宋简体" w:eastAsia="方正仿宋简体" w:cs="方正仿宋简体"/>
                <w:color w:val="auto"/>
                <w:kern w:val="0"/>
                <w:sz w:val="24"/>
                <w:szCs w:val="24"/>
                <w:highlight w:val="none"/>
                <w:lang w:val="en-US" w:eastAsia="zh-CN"/>
              </w:rPr>
              <w:t>5</w:t>
            </w:r>
          </w:p>
        </w:tc>
        <w:tc>
          <w:tcPr>
            <w:tcW w:w="3741" w:type="dxa"/>
            <w:gridSpan w:val="2"/>
            <w:tcBorders>
              <w:top w:val="single" w:color="auto" w:sz="4" w:space="0"/>
              <w:left w:val="nil"/>
              <w:bottom w:val="single" w:color="auto" w:sz="4" w:space="0"/>
              <w:right w:val="single" w:color="auto" w:sz="4" w:space="0"/>
            </w:tcBorders>
            <w:shd w:val="clear" w:color="auto" w:fill="auto"/>
            <w:noWrap w:val="0"/>
            <w:vAlign w:val="center"/>
          </w:tcPr>
          <w:p w14:paraId="4D8BAA85">
            <w:pPr>
              <w:spacing w:line="360" w:lineRule="exact"/>
              <w:jc w:val="left"/>
              <w:rPr>
                <w:rFonts w:hint="eastAsia" w:ascii="方正仿宋简体" w:hAnsi="方正仿宋简体" w:eastAsia="方正仿宋简体" w:cs="方正仿宋简体"/>
                <w:color w:val="auto"/>
                <w:kern w:val="0"/>
                <w:sz w:val="24"/>
                <w:szCs w:val="24"/>
                <w:highlight w:val="none"/>
              </w:rPr>
            </w:pPr>
          </w:p>
        </w:tc>
      </w:tr>
    </w:tbl>
    <w:p w14:paraId="29A7F56D">
      <w:pPr>
        <w:tabs>
          <w:tab w:val="left" w:pos="3828"/>
        </w:tabs>
        <w:spacing w:line="560" w:lineRule="exact"/>
        <w:rPr>
          <w:rFonts w:hint="eastAsia" w:ascii="方正仿宋简体" w:hAnsi="方正仿宋简体" w:eastAsia="方正仿宋简体" w:cs="方正仿宋简体"/>
          <w:color w:val="auto"/>
          <w:sz w:val="32"/>
          <w:szCs w:val="32"/>
        </w:rPr>
      </w:pPr>
    </w:p>
    <w:p w14:paraId="0139AC50">
      <w:pPr>
        <w:pStyle w:val="24"/>
        <w:spacing w:after="0"/>
        <w:ind w:firstLine="640"/>
        <w:jc w:val="both"/>
        <w:rPr>
          <w:rFonts w:hint="eastAsia" w:ascii="方正仿宋简体" w:hAnsi="方正仿宋简体" w:eastAsia="方正仿宋简体" w:cs="方正仿宋简体"/>
          <w:color w:val="auto"/>
          <w:szCs w:val="32"/>
          <w:lang w:val="en-US" w:eastAsia="zh-CN"/>
        </w:rPr>
      </w:pPr>
      <w:bookmarkStart w:id="27" w:name="_GoBack"/>
      <w:bookmarkEnd w:id="27"/>
    </w:p>
    <w:sectPr>
      <w:pgSz w:w="16838" w:h="11906" w:orient="landscape"/>
      <w:pgMar w:top="1587" w:right="2154" w:bottom="1531" w:left="1587" w:header="851" w:footer="1417" w:gutter="0"/>
      <w:pgBorders>
        <w:top w:val="none" w:sz="0" w:space="0"/>
        <w:left w:val="none" w:sz="0" w:space="0"/>
        <w:bottom w:val="none" w:sz="0" w:space="0"/>
        <w:right w:val="none" w:sz="0" w:space="0"/>
      </w:pgBorders>
      <w:cols w:space="720" w:num="1"/>
      <w:docGrid w:type="lines" w:linePitch="58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1D43020-0C53-4526-84D8-7FD4F089B20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embedRegular r:id="rId2" w:fontKey="{26A1433E-3CBF-4C54-850D-E72D9294A499}"/>
  </w:font>
  <w:font w:name="仿宋">
    <w:panose1 w:val="02010609060101010101"/>
    <w:charset w:val="86"/>
    <w:family w:val="modern"/>
    <w:pitch w:val="default"/>
    <w:sig w:usb0="800002BF" w:usb1="38CF7CFA" w:usb2="00000016" w:usb3="00000000" w:csb0="00040001" w:csb1="00000000"/>
    <w:embedRegular r:id="rId3" w:fontKey="{B5739D5C-A851-4379-A452-2106F689F7F0}"/>
  </w:font>
  <w:font w:name="等线 Light">
    <w:panose1 w:val="02010600030101010101"/>
    <w:charset w:val="86"/>
    <w:family w:val="auto"/>
    <w:pitch w:val="default"/>
    <w:sig w:usb0="A00002BF" w:usb1="38CF7CFA" w:usb2="00000016" w:usb3="00000000" w:csb0="0004000F" w:csb1="00000000"/>
  </w:font>
  <w:font w:name="方正仿宋简体">
    <w:panose1 w:val="02000000000000000000"/>
    <w:charset w:val="86"/>
    <w:family w:val="auto"/>
    <w:pitch w:val="default"/>
    <w:sig w:usb0="A00002BF" w:usb1="184F6CFA" w:usb2="00000012" w:usb3="00000000" w:csb0="00040001" w:csb1="00000000"/>
    <w:embedRegular r:id="rId4" w:fontKey="{816D4EC4-DACF-4B3B-AC11-29B1D8375B59}"/>
  </w:font>
  <w:font w:name="Times New Roman Regular">
    <w:altName w:val="Times New Roman"/>
    <w:panose1 w:val="02020503050405090304"/>
    <w:charset w:val="00"/>
    <w:family w:val="auto"/>
    <w:pitch w:val="default"/>
    <w:sig w:usb0="00000000" w:usb1="00000000" w:usb2="00000001" w:usb3="00000000" w:csb0="400001BF" w:csb1="DFF70000"/>
    <w:embedRegular r:id="rId5" w:fontKey="{50458082-1A47-4AAF-804E-A6ED300B36C5}"/>
  </w:font>
  <w:font w:name="方正小标宋_GBK">
    <w:panose1 w:val="03000509000000000000"/>
    <w:charset w:val="86"/>
    <w:family w:val="script"/>
    <w:pitch w:val="default"/>
    <w:sig w:usb0="00000001" w:usb1="080E0000" w:usb2="00000000" w:usb3="00000000" w:csb0="00040000" w:csb1="00000000"/>
    <w:embedRegular r:id="rId6" w:fontKey="{C777CDDB-5E66-4356-8410-A490D754D964}"/>
  </w:font>
  <w:font w:name="楷体">
    <w:panose1 w:val="02010609060101010101"/>
    <w:charset w:val="86"/>
    <w:family w:val="modern"/>
    <w:pitch w:val="default"/>
    <w:sig w:usb0="800002BF" w:usb1="38CF7CFA" w:usb2="00000016" w:usb3="00000000" w:csb0="00040001" w:csb1="00000000"/>
    <w:embedRegular r:id="rId7" w:fontKey="{0C5FA8EC-278A-4656-866F-9EF494D34D63}"/>
  </w:font>
  <w:font w:name="WPSEMBED1">
    <w:panose1 w:val="03000509000000000000"/>
    <w:charset w:val="86"/>
    <w:family w:val="auto"/>
    <w:pitch w:val="default"/>
    <w:sig w:usb0="00000001" w:usb1="080E0000" w:usb2="00000000" w:usb3="00000000" w:csb0="00040000" w:csb1="00000000"/>
  </w:font>
  <w:font w:name="KSOFE44F9426">
    <w:panose1 w:val="02010609060101010101"/>
    <w:charset w:val="86"/>
    <w:family w:val="auto"/>
    <w:pitch w:val="default"/>
    <w:sig w:usb0="00000001" w:usb1="00000000" w:usb2="00000000" w:usb3="00000000" w:csb0="00040001"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8D183B">
    <w:pPr>
      <w:pStyle w:val="7"/>
      <w:jc w:val="center"/>
    </w:pPr>
    <w:r>
      <w:fldChar w:fldCharType="begin"/>
    </w:r>
    <w:r>
      <w:instrText xml:space="preserve">PAGE   \* MERGEFORMAT</w:instrText>
    </w:r>
    <w:r>
      <w:fldChar w:fldCharType="separate"/>
    </w:r>
    <w:r>
      <w:rPr>
        <w:lang w:val="zh-CN"/>
      </w:rPr>
      <w:t>33</w:t>
    </w:r>
    <w:r>
      <w:fldChar w:fldCharType="end"/>
    </w:r>
  </w:p>
  <w:p w14:paraId="30F4325D">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B60AED">
    <w:pPr>
      <w:ind w:firstLine="64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FA388B6"/>
    <w:multiLevelType w:val="singleLevel"/>
    <w:tmpl w:val="DFA388B6"/>
    <w:lvl w:ilvl="0" w:tentative="0">
      <w:start w:val="1"/>
      <w:numFmt w:val="decimal"/>
      <w:suff w:val="nothing"/>
      <w:lvlText w:val="%1、"/>
      <w:lvlJc w:val="left"/>
    </w:lvl>
  </w:abstractNum>
  <w:abstractNum w:abstractNumId="1">
    <w:nsid w:val="F8A7D56E"/>
    <w:multiLevelType w:val="singleLevel"/>
    <w:tmpl w:val="F8A7D56E"/>
    <w:lvl w:ilvl="0" w:tentative="0">
      <w:start w:val="1"/>
      <w:numFmt w:val="decimal"/>
      <w:suff w:val="nothing"/>
      <w:lvlText w:val="%1、"/>
      <w:lvlJc w:val="left"/>
    </w:lvl>
  </w:abstractNum>
  <w:abstractNum w:abstractNumId="2">
    <w:nsid w:val="1A392E7C"/>
    <w:multiLevelType w:val="singleLevel"/>
    <w:tmpl w:val="1A392E7C"/>
    <w:lvl w:ilvl="0" w:tentative="0">
      <w:start w:val="3"/>
      <w:numFmt w:val="chineseCounting"/>
      <w:suff w:val="nothing"/>
      <w:lvlText w:val="%1、"/>
      <w:lvlJc w:val="left"/>
      <w:rPr>
        <w:rFonts w:hint="eastAsia"/>
      </w:rPr>
    </w:lvl>
  </w:abstractNum>
  <w:abstractNum w:abstractNumId="3">
    <w:nsid w:val="27DCAECB"/>
    <w:multiLevelType w:val="singleLevel"/>
    <w:tmpl w:val="27DCAECB"/>
    <w:lvl w:ilvl="0" w:tentative="0">
      <w:start w:val="1"/>
      <w:numFmt w:val="decimal"/>
      <w:suff w:val="nothing"/>
      <w:lvlText w:val="（%1）"/>
      <w:lvlJc w:val="left"/>
      <w:rPr>
        <w:rFonts w:hint="default" w:ascii="Times New Roman" w:hAnsi="Times New Roman" w:cs="Times New Roman"/>
      </w:rPr>
    </w:lvl>
  </w:abstractNum>
  <w:abstractNum w:abstractNumId="4">
    <w:nsid w:val="42528023"/>
    <w:multiLevelType w:val="singleLevel"/>
    <w:tmpl w:val="42528023"/>
    <w:lvl w:ilvl="0" w:tentative="0">
      <w:start w:val="1"/>
      <w:numFmt w:val="decimal"/>
      <w:suff w:val="nothing"/>
      <w:lvlText w:val="%1、"/>
      <w:lvlJc w:val="left"/>
    </w:lvl>
  </w:abstractNum>
  <w:num w:numId="1">
    <w:abstractNumId w:val="3"/>
  </w:num>
  <w:num w:numId="2">
    <w:abstractNumId w:val="2"/>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MzYzFlNTg5ODFlNmQyZjg5OWU2OTM1M2IwNzZmNGEifQ=="/>
  </w:docVars>
  <w:rsids>
    <w:rsidRoot w:val="00E64812"/>
    <w:rsid w:val="00001934"/>
    <w:rsid w:val="00005909"/>
    <w:rsid w:val="000145F1"/>
    <w:rsid w:val="000179CC"/>
    <w:rsid w:val="000206C6"/>
    <w:rsid w:val="00020AA5"/>
    <w:rsid w:val="00021D02"/>
    <w:rsid w:val="00021D31"/>
    <w:rsid w:val="00022645"/>
    <w:rsid w:val="00027883"/>
    <w:rsid w:val="0003134E"/>
    <w:rsid w:val="00032EA5"/>
    <w:rsid w:val="000344AB"/>
    <w:rsid w:val="00041C83"/>
    <w:rsid w:val="0004590C"/>
    <w:rsid w:val="000460F2"/>
    <w:rsid w:val="00053CA0"/>
    <w:rsid w:val="000556E5"/>
    <w:rsid w:val="00057191"/>
    <w:rsid w:val="00060DAB"/>
    <w:rsid w:val="00064444"/>
    <w:rsid w:val="00064DAF"/>
    <w:rsid w:val="00073AED"/>
    <w:rsid w:val="00083FB5"/>
    <w:rsid w:val="00084BD3"/>
    <w:rsid w:val="00091180"/>
    <w:rsid w:val="000920C1"/>
    <w:rsid w:val="0009648E"/>
    <w:rsid w:val="000979A8"/>
    <w:rsid w:val="000A02AD"/>
    <w:rsid w:val="000A0584"/>
    <w:rsid w:val="000A201D"/>
    <w:rsid w:val="000A55D4"/>
    <w:rsid w:val="000A7009"/>
    <w:rsid w:val="000B2253"/>
    <w:rsid w:val="000C34D6"/>
    <w:rsid w:val="000C6F9A"/>
    <w:rsid w:val="000D261A"/>
    <w:rsid w:val="000D291F"/>
    <w:rsid w:val="000D68F1"/>
    <w:rsid w:val="000D7A1C"/>
    <w:rsid w:val="000E26E5"/>
    <w:rsid w:val="000E66BE"/>
    <w:rsid w:val="000E6F5E"/>
    <w:rsid w:val="000F319E"/>
    <w:rsid w:val="000F42B6"/>
    <w:rsid w:val="00101479"/>
    <w:rsid w:val="0011234F"/>
    <w:rsid w:val="00112CB7"/>
    <w:rsid w:val="0011452D"/>
    <w:rsid w:val="00116F55"/>
    <w:rsid w:val="00117A79"/>
    <w:rsid w:val="00117CB7"/>
    <w:rsid w:val="001213FF"/>
    <w:rsid w:val="00122180"/>
    <w:rsid w:val="001222C2"/>
    <w:rsid w:val="00126589"/>
    <w:rsid w:val="001306C0"/>
    <w:rsid w:val="00131985"/>
    <w:rsid w:val="0013540E"/>
    <w:rsid w:val="001418A5"/>
    <w:rsid w:val="0014336B"/>
    <w:rsid w:val="001455FB"/>
    <w:rsid w:val="00146CAF"/>
    <w:rsid w:val="001478EC"/>
    <w:rsid w:val="00150975"/>
    <w:rsid w:val="001527D7"/>
    <w:rsid w:val="00156914"/>
    <w:rsid w:val="001576F4"/>
    <w:rsid w:val="00162353"/>
    <w:rsid w:val="0016369A"/>
    <w:rsid w:val="00167BE4"/>
    <w:rsid w:val="001713A9"/>
    <w:rsid w:val="00172D07"/>
    <w:rsid w:val="001777D7"/>
    <w:rsid w:val="00181A0A"/>
    <w:rsid w:val="00181DAE"/>
    <w:rsid w:val="001860FE"/>
    <w:rsid w:val="00186DE2"/>
    <w:rsid w:val="001901E6"/>
    <w:rsid w:val="00197504"/>
    <w:rsid w:val="001A72C1"/>
    <w:rsid w:val="001B4423"/>
    <w:rsid w:val="001B7F96"/>
    <w:rsid w:val="001C5D02"/>
    <w:rsid w:val="001D22FD"/>
    <w:rsid w:val="001D250B"/>
    <w:rsid w:val="001D2691"/>
    <w:rsid w:val="001D39B2"/>
    <w:rsid w:val="001D3F98"/>
    <w:rsid w:val="001D5F62"/>
    <w:rsid w:val="001D7FE3"/>
    <w:rsid w:val="001E6C5B"/>
    <w:rsid w:val="001F323C"/>
    <w:rsid w:val="001F7769"/>
    <w:rsid w:val="00200801"/>
    <w:rsid w:val="00200FA0"/>
    <w:rsid w:val="00201920"/>
    <w:rsid w:val="00201DFC"/>
    <w:rsid w:val="002138A9"/>
    <w:rsid w:val="00214564"/>
    <w:rsid w:val="002146DD"/>
    <w:rsid w:val="00215C0C"/>
    <w:rsid w:val="002204B8"/>
    <w:rsid w:val="00220851"/>
    <w:rsid w:val="00221F7E"/>
    <w:rsid w:val="002224CE"/>
    <w:rsid w:val="0023500F"/>
    <w:rsid w:val="002365C0"/>
    <w:rsid w:val="00237200"/>
    <w:rsid w:val="00242479"/>
    <w:rsid w:val="002431AD"/>
    <w:rsid w:val="00252B3B"/>
    <w:rsid w:val="002543FC"/>
    <w:rsid w:val="00256704"/>
    <w:rsid w:val="00261632"/>
    <w:rsid w:val="00261F1E"/>
    <w:rsid w:val="00263944"/>
    <w:rsid w:val="00263CAE"/>
    <w:rsid w:val="00264D06"/>
    <w:rsid w:val="00270F20"/>
    <w:rsid w:val="00272CCA"/>
    <w:rsid w:val="00277111"/>
    <w:rsid w:val="00277E57"/>
    <w:rsid w:val="00280443"/>
    <w:rsid w:val="0029078F"/>
    <w:rsid w:val="00292BFA"/>
    <w:rsid w:val="00294A08"/>
    <w:rsid w:val="002955D4"/>
    <w:rsid w:val="002A26E9"/>
    <w:rsid w:val="002A30EC"/>
    <w:rsid w:val="002A3915"/>
    <w:rsid w:val="002A41CC"/>
    <w:rsid w:val="002A737A"/>
    <w:rsid w:val="002B1EBF"/>
    <w:rsid w:val="002C2F2B"/>
    <w:rsid w:val="002C79CB"/>
    <w:rsid w:val="002D3D8F"/>
    <w:rsid w:val="002D461D"/>
    <w:rsid w:val="002D4DD9"/>
    <w:rsid w:val="002D4FF7"/>
    <w:rsid w:val="002D5FA8"/>
    <w:rsid w:val="002D613F"/>
    <w:rsid w:val="002E4D15"/>
    <w:rsid w:val="002E60F9"/>
    <w:rsid w:val="002F0E13"/>
    <w:rsid w:val="002F171F"/>
    <w:rsid w:val="00302FC4"/>
    <w:rsid w:val="00313292"/>
    <w:rsid w:val="00313F34"/>
    <w:rsid w:val="0032244D"/>
    <w:rsid w:val="00327EBA"/>
    <w:rsid w:val="00332EFC"/>
    <w:rsid w:val="00333C8C"/>
    <w:rsid w:val="00334881"/>
    <w:rsid w:val="003353AF"/>
    <w:rsid w:val="0033561A"/>
    <w:rsid w:val="00336D62"/>
    <w:rsid w:val="00345A1E"/>
    <w:rsid w:val="00346F1A"/>
    <w:rsid w:val="003518EC"/>
    <w:rsid w:val="003525D6"/>
    <w:rsid w:val="00354535"/>
    <w:rsid w:val="003570F5"/>
    <w:rsid w:val="00361AC9"/>
    <w:rsid w:val="003641F7"/>
    <w:rsid w:val="0036420A"/>
    <w:rsid w:val="00366CBA"/>
    <w:rsid w:val="00370F22"/>
    <w:rsid w:val="00382E80"/>
    <w:rsid w:val="00385470"/>
    <w:rsid w:val="0039290E"/>
    <w:rsid w:val="0039387F"/>
    <w:rsid w:val="003A0E12"/>
    <w:rsid w:val="003A4264"/>
    <w:rsid w:val="003A4581"/>
    <w:rsid w:val="003A7356"/>
    <w:rsid w:val="003B0EFF"/>
    <w:rsid w:val="003B2D35"/>
    <w:rsid w:val="003B4F23"/>
    <w:rsid w:val="003B6C2C"/>
    <w:rsid w:val="003C1029"/>
    <w:rsid w:val="003C50A7"/>
    <w:rsid w:val="003C5E2D"/>
    <w:rsid w:val="003D0D68"/>
    <w:rsid w:val="003D1247"/>
    <w:rsid w:val="003D218D"/>
    <w:rsid w:val="003D310B"/>
    <w:rsid w:val="003D7C09"/>
    <w:rsid w:val="003E6277"/>
    <w:rsid w:val="003F32F8"/>
    <w:rsid w:val="003F5F30"/>
    <w:rsid w:val="0040264C"/>
    <w:rsid w:val="004032ED"/>
    <w:rsid w:val="004048F8"/>
    <w:rsid w:val="00410BB9"/>
    <w:rsid w:val="00412C16"/>
    <w:rsid w:val="00414874"/>
    <w:rsid w:val="004209AE"/>
    <w:rsid w:val="004210B2"/>
    <w:rsid w:val="00431EFC"/>
    <w:rsid w:val="00432709"/>
    <w:rsid w:val="004332AF"/>
    <w:rsid w:val="00434184"/>
    <w:rsid w:val="00435B0D"/>
    <w:rsid w:val="004370E8"/>
    <w:rsid w:val="00437D97"/>
    <w:rsid w:val="00444E26"/>
    <w:rsid w:val="004468D8"/>
    <w:rsid w:val="004470EB"/>
    <w:rsid w:val="004477F6"/>
    <w:rsid w:val="00450A9A"/>
    <w:rsid w:val="004574A3"/>
    <w:rsid w:val="004643B0"/>
    <w:rsid w:val="004717E0"/>
    <w:rsid w:val="00473705"/>
    <w:rsid w:val="00480A22"/>
    <w:rsid w:val="0048172A"/>
    <w:rsid w:val="004907C1"/>
    <w:rsid w:val="004915D0"/>
    <w:rsid w:val="004A65D8"/>
    <w:rsid w:val="004B1CEE"/>
    <w:rsid w:val="004B2F5C"/>
    <w:rsid w:val="004B7169"/>
    <w:rsid w:val="004B7DD5"/>
    <w:rsid w:val="004C1099"/>
    <w:rsid w:val="004C4434"/>
    <w:rsid w:val="004C558D"/>
    <w:rsid w:val="004C75FF"/>
    <w:rsid w:val="004C7D4A"/>
    <w:rsid w:val="004D6FFF"/>
    <w:rsid w:val="004E25EB"/>
    <w:rsid w:val="004F2A4B"/>
    <w:rsid w:val="00501F89"/>
    <w:rsid w:val="00502288"/>
    <w:rsid w:val="00502FFA"/>
    <w:rsid w:val="00505DB5"/>
    <w:rsid w:val="00507FBC"/>
    <w:rsid w:val="0051657A"/>
    <w:rsid w:val="00522722"/>
    <w:rsid w:val="00525EAB"/>
    <w:rsid w:val="005310B3"/>
    <w:rsid w:val="005360B5"/>
    <w:rsid w:val="00536396"/>
    <w:rsid w:val="005365B7"/>
    <w:rsid w:val="005408EC"/>
    <w:rsid w:val="00541AA3"/>
    <w:rsid w:val="005427FB"/>
    <w:rsid w:val="005456E6"/>
    <w:rsid w:val="0054612C"/>
    <w:rsid w:val="005465B2"/>
    <w:rsid w:val="005500EE"/>
    <w:rsid w:val="00550B86"/>
    <w:rsid w:val="00551FB1"/>
    <w:rsid w:val="00552AC2"/>
    <w:rsid w:val="005575DD"/>
    <w:rsid w:val="005576B2"/>
    <w:rsid w:val="005660A8"/>
    <w:rsid w:val="00572C71"/>
    <w:rsid w:val="0057517B"/>
    <w:rsid w:val="00575791"/>
    <w:rsid w:val="005761BE"/>
    <w:rsid w:val="00577397"/>
    <w:rsid w:val="00580BD2"/>
    <w:rsid w:val="00581113"/>
    <w:rsid w:val="00582763"/>
    <w:rsid w:val="005848A5"/>
    <w:rsid w:val="0058549C"/>
    <w:rsid w:val="00590284"/>
    <w:rsid w:val="00590708"/>
    <w:rsid w:val="00591364"/>
    <w:rsid w:val="005938E1"/>
    <w:rsid w:val="005A0EA1"/>
    <w:rsid w:val="005A249C"/>
    <w:rsid w:val="005A3F0A"/>
    <w:rsid w:val="005A5770"/>
    <w:rsid w:val="005A682D"/>
    <w:rsid w:val="005A68FE"/>
    <w:rsid w:val="005A7A24"/>
    <w:rsid w:val="005B16DB"/>
    <w:rsid w:val="005B35B8"/>
    <w:rsid w:val="005B387C"/>
    <w:rsid w:val="005C0C2E"/>
    <w:rsid w:val="005C18E5"/>
    <w:rsid w:val="005C2477"/>
    <w:rsid w:val="005C2ED7"/>
    <w:rsid w:val="005C3F4A"/>
    <w:rsid w:val="005C5F86"/>
    <w:rsid w:val="005C7033"/>
    <w:rsid w:val="005D1216"/>
    <w:rsid w:val="005D6AD1"/>
    <w:rsid w:val="005D7E0C"/>
    <w:rsid w:val="005E03BC"/>
    <w:rsid w:val="00600E87"/>
    <w:rsid w:val="00604EFF"/>
    <w:rsid w:val="00605CAD"/>
    <w:rsid w:val="00607535"/>
    <w:rsid w:val="00610752"/>
    <w:rsid w:val="0061178A"/>
    <w:rsid w:val="00611987"/>
    <w:rsid w:val="00612961"/>
    <w:rsid w:val="00621105"/>
    <w:rsid w:val="0062354D"/>
    <w:rsid w:val="00624418"/>
    <w:rsid w:val="00624EA3"/>
    <w:rsid w:val="00642695"/>
    <w:rsid w:val="00642B03"/>
    <w:rsid w:val="00647F06"/>
    <w:rsid w:val="0065018C"/>
    <w:rsid w:val="0065353C"/>
    <w:rsid w:val="00654496"/>
    <w:rsid w:val="006618C9"/>
    <w:rsid w:val="00665EA5"/>
    <w:rsid w:val="006841EA"/>
    <w:rsid w:val="0068585B"/>
    <w:rsid w:val="00687C64"/>
    <w:rsid w:val="0069059A"/>
    <w:rsid w:val="00693651"/>
    <w:rsid w:val="00693ED5"/>
    <w:rsid w:val="00696575"/>
    <w:rsid w:val="00696DDB"/>
    <w:rsid w:val="00697F0C"/>
    <w:rsid w:val="006A4349"/>
    <w:rsid w:val="006A4FA2"/>
    <w:rsid w:val="006A6FFE"/>
    <w:rsid w:val="006B0539"/>
    <w:rsid w:val="006B121C"/>
    <w:rsid w:val="006B6EF0"/>
    <w:rsid w:val="006C3F0F"/>
    <w:rsid w:val="006D3F45"/>
    <w:rsid w:val="006D653F"/>
    <w:rsid w:val="006E00E0"/>
    <w:rsid w:val="006E2A9F"/>
    <w:rsid w:val="006E6B6F"/>
    <w:rsid w:val="006E79C2"/>
    <w:rsid w:val="006F0339"/>
    <w:rsid w:val="006F3FC9"/>
    <w:rsid w:val="006F416D"/>
    <w:rsid w:val="006F4CB8"/>
    <w:rsid w:val="006F6DDF"/>
    <w:rsid w:val="00701B35"/>
    <w:rsid w:val="007033B2"/>
    <w:rsid w:val="00705B17"/>
    <w:rsid w:val="007119A7"/>
    <w:rsid w:val="007148D2"/>
    <w:rsid w:val="00721BDA"/>
    <w:rsid w:val="007269A8"/>
    <w:rsid w:val="00727CCF"/>
    <w:rsid w:val="007365EA"/>
    <w:rsid w:val="00740B30"/>
    <w:rsid w:val="00742BE4"/>
    <w:rsid w:val="0074751E"/>
    <w:rsid w:val="00751B99"/>
    <w:rsid w:val="00751DC2"/>
    <w:rsid w:val="00752C07"/>
    <w:rsid w:val="00765626"/>
    <w:rsid w:val="007712FA"/>
    <w:rsid w:val="007745BE"/>
    <w:rsid w:val="007804C1"/>
    <w:rsid w:val="00784E68"/>
    <w:rsid w:val="00790C74"/>
    <w:rsid w:val="00794636"/>
    <w:rsid w:val="00794D33"/>
    <w:rsid w:val="0079653A"/>
    <w:rsid w:val="00797139"/>
    <w:rsid w:val="007A6466"/>
    <w:rsid w:val="007A6C54"/>
    <w:rsid w:val="007A77B3"/>
    <w:rsid w:val="007B7FB2"/>
    <w:rsid w:val="007C115A"/>
    <w:rsid w:val="007C1421"/>
    <w:rsid w:val="007C38C3"/>
    <w:rsid w:val="007C75A8"/>
    <w:rsid w:val="007C7F54"/>
    <w:rsid w:val="007D0FDE"/>
    <w:rsid w:val="007D6F63"/>
    <w:rsid w:val="007E0E56"/>
    <w:rsid w:val="007E1CBE"/>
    <w:rsid w:val="007E2642"/>
    <w:rsid w:val="007E7DC3"/>
    <w:rsid w:val="007F0BBB"/>
    <w:rsid w:val="007F4C89"/>
    <w:rsid w:val="007F6C26"/>
    <w:rsid w:val="00803054"/>
    <w:rsid w:val="008049F5"/>
    <w:rsid w:val="00805174"/>
    <w:rsid w:val="008108E1"/>
    <w:rsid w:val="00821094"/>
    <w:rsid w:val="00825046"/>
    <w:rsid w:val="00825B59"/>
    <w:rsid w:val="0083233A"/>
    <w:rsid w:val="00836DF1"/>
    <w:rsid w:val="00837CA7"/>
    <w:rsid w:val="00837D6F"/>
    <w:rsid w:val="0084190B"/>
    <w:rsid w:val="0084403C"/>
    <w:rsid w:val="00845188"/>
    <w:rsid w:val="008545C1"/>
    <w:rsid w:val="0085623E"/>
    <w:rsid w:val="0085764F"/>
    <w:rsid w:val="0086713D"/>
    <w:rsid w:val="0087132B"/>
    <w:rsid w:val="00871E8C"/>
    <w:rsid w:val="00872E7C"/>
    <w:rsid w:val="00873EB9"/>
    <w:rsid w:val="0087788E"/>
    <w:rsid w:val="00881565"/>
    <w:rsid w:val="00884DA4"/>
    <w:rsid w:val="0088647C"/>
    <w:rsid w:val="00886944"/>
    <w:rsid w:val="00891A72"/>
    <w:rsid w:val="00897834"/>
    <w:rsid w:val="008A3131"/>
    <w:rsid w:val="008A4B7E"/>
    <w:rsid w:val="008B05C0"/>
    <w:rsid w:val="008B3C97"/>
    <w:rsid w:val="008B5B3D"/>
    <w:rsid w:val="008B700D"/>
    <w:rsid w:val="008C0881"/>
    <w:rsid w:val="008C0AFA"/>
    <w:rsid w:val="008C1CBF"/>
    <w:rsid w:val="008D223D"/>
    <w:rsid w:val="008D43DF"/>
    <w:rsid w:val="008D7CEC"/>
    <w:rsid w:val="008E20DF"/>
    <w:rsid w:val="008E3107"/>
    <w:rsid w:val="008F0C20"/>
    <w:rsid w:val="008F0E0F"/>
    <w:rsid w:val="008F230A"/>
    <w:rsid w:val="008F3709"/>
    <w:rsid w:val="008F5DDD"/>
    <w:rsid w:val="008F6619"/>
    <w:rsid w:val="008F6E34"/>
    <w:rsid w:val="00900366"/>
    <w:rsid w:val="00907EF7"/>
    <w:rsid w:val="009108EB"/>
    <w:rsid w:val="009115EB"/>
    <w:rsid w:val="00914190"/>
    <w:rsid w:val="009149CC"/>
    <w:rsid w:val="00915638"/>
    <w:rsid w:val="00923C82"/>
    <w:rsid w:val="00934D3E"/>
    <w:rsid w:val="00941124"/>
    <w:rsid w:val="00943C79"/>
    <w:rsid w:val="00944219"/>
    <w:rsid w:val="0094483B"/>
    <w:rsid w:val="00946AB3"/>
    <w:rsid w:val="00950148"/>
    <w:rsid w:val="00951F0F"/>
    <w:rsid w:val="00956D12"/>
    <w:rsid w:val="0096635D"/>
    <w:rsid w:val="009663EF"/>
    <w:rsid w:val="00966AFF"/>
    <w:rsid w:val="009740CE"/>
    <w:rsid w:val="0097473B"/>
    <w:rsid w:val="00976A1C"/>
    <w:rsid w:val="00980CAE"/>
    <w:rsid w:val="009822B0"/>
    <w:rsid w:val="009842F3"/>
    <w:rsid w:val="00984BB6"/>
    <w:rsid w:val="00990CCA"/>
    <w:rsid w:val="00991639"/>
    <w:rsid w:val="009928CD"/>
    <w:rsid w:val="00995D12"/>
    <w:rsid w:val="00996810"/>
    <w:rsid w:val="009A3934"/>
    <w:rsid w:val="009A4DCD"/>
    <w:rsid w:val="009B3892"/>
    <w:rsid w:val="009B3A7D"/>
    <w:rsid w:val="009B75B6"/>
    <w:rsid w:val="009C30F3"/>
    <w:rsid w:val="009C3B75"/>
    <w:rsid w:val="009C7FC2"/>
    <w:rsid w:val="009D1C2A"/>
    <w:rsid w:val="009D3046"/>
    <w:rsid w:val="009D4D3B"/>
    <w:rsid w:val="009D6BFD"/>
    <w:rsid w:val="009E1C26"/>
    <w:rsid w:val="009E310A"/>
    <w:rsid w:val="009E43E1"/>
    <w:rsid w:val="009E7862"/>
    <w:rsid w:val="009E7A65"/>
    <w:rsid w:val="009F6D4D"/>
    <w:rsid w:val="009F6E56"/>
    <w:rsid w:val="00A02919"/>
    <w:rsid w:val="00A05254"/>
    <w:rsid w:val="00A07302"/>
    <w:rsid w:val="00A07AC7"/>
    <w:rsid w:val="00A109A1"/>
    <w:rsid w:val="00A118B1"/>
    <w:rsid w:val="00A12F8A"/>
    <w:rsid w:val="00A1531E"/>
    <w:rsid w:val="00A17FD2"/>
    <w:rsid w:val="00A214A3"/>
    <w:rsid w:val="00A24942"/>
    <w:rsid w:val="00A31845"/>
    <w:rsid w:val="00A33F31"/>
    <w:rsid w:val="00A35383"/>
    <w:rsid w:val="00A36986"/>
    <w:rsid w:val="00A41C97"/>
    <w:rsid w:val="00A44489"/>
    <w:rsid w:val="00A47555"/>
    <w:rsid w:val="00A5205F"/>
    <w:rsid w:val="00A52B38"/>
    <w:rsid w:val="00A53ABC"/>
    <w:rsid w:val="00A55286"/>
    <w:rsid w:val="00A57994"/>
    <w:rsid w:val="00A61B27"/>
    <w:rsid w:val="00A62EA3"/>
    <w:rsid w:val="00A654A9"/>
    <w:rsid w:val="00A65738"/>
    <w:rsid w:val="00A71559"/>
    <w:rsid w:val="00A75171"/>
    <w:rsid w:val="00A82607"/>
    <w:rsid w:val="00A84220"/>
    <w:rsid w:val="00A8422E"/>
    <w:rsid w:val="00A86DF4"/>
    <w:rsid w:val="00A93B4C"/>
    <w:rsid w:val="00A94B87"/>
    <w:rsid w:val="00AA1457"/>
    <w:rsid w:val="00AA210E"/>
    <w:rsid w:val="00AA5D69"/>
    <w:rsid w:val="00AA6592"/>
    <w:rsid w:val="00AB1638"/>
    <w:rsid w:val="00AB19E0"/>
    <w:rsid w:val="00AB435B"/>
    <w:rsid w:val="00AB5871"/>
    <w:rsid w:val="00AB724F"/>
    <w:rsid w:val="00AC2A1D"/>
    <w:rsid w:val="00AC51D8"/>
    <w:rsid w:val="00AC55AB"/>
    <w:rsid w:val="00AD3964"/>
    <w:rsid w:val="00AE0267"/>
    <w:rsid w:val="00AE73D2"/>
    <w:rsid w:val="00AF1DC6"/>
    <w:rsid w:val="00AF5570"/>
    <w:rsid w:val="00AF55B2"/>
    <w:rsid w:val="00AF623C"/>
    <w:rsid w:val="00B0280B"/>
    <w:rsid w:val="00B04124"/>
    <w:rsid w:val="00B044D4"/>
    <w:rsid w:val="00B10ADC"/>
    <w:rsid w:val="00B11C1C"/>
    <w:rsid w:val="00B1277D"/>
    <w:rsid w:val="00B167D5"/>
    <w:rsid w:val="00B20378"/>
    <w:rsid w:val="00B21146"/>
    <w:rsid w:val="00B212B8"/>
    <w:rsid w:val="00B2405A"/>
    <w:rsid w:val="00B24D15"/>
    <w:rsid w:val="00B25AFB"/>
    <w:rsid w:val="00B33B93"/>
    <w:rsid w:val="00B37383"/>
    <w:rsid w:val="00B4338D"/>
    <w:rsid w:val="00B44974"/>
    <w:rsid w:val="00B505DB"/>
    <w:rsid w:val="00B52FF2"/>
    <w:rsid w:val="00B54542"/>
    <w:rsid w:val="00B5554C"/>
    <w:rsid w:val="00B6212D"/>
    <w:rsid w:val="00B626D4"/>
    <w:rsid w:val="00B65FC0"/>
    <w:rsid w:val="00B70574"/>
    <w:rsid w:val="00B80250"/>
    <w:rsid w:val="00B817CD"/>
    <w:rsid w:val="00B94E39"/>
    <w:rsid w:val="00B9688D"/>
    <w:rsid w:val="00B97AAB"/>
    <w:rsid w:val="00BA04FD"/>
    <w:rsid w:val="00BA3523"/>
    <w:rsid w:val="00BA53BB"/>
    <w:rsid w:val="00BA5955"/>
    <w:rsid w:val="00BA5AB8"/>
    <w:rsid w:val="00BA616D"/>
    <w:rsid w:val="00BA6CA3"/>
    <w:rsid w:val="00BB1901"/>
    <w:rsid w:val="00BB3789"/>
    <w:rsid w:val="00BC058B"/>
    <w:rsid w:val="00BC4378"/>
    <w:rsid w:val="00BC4A18"/>
    <w:rsid w:val="00BC59AE"/>
    <w:rsid w:val="00BC5A65"/>
    <w:rsid w:val="00BE296C"/>
    <w:rsid w:val="00BE60E7"/>
    <w:rsid w:val="00BF6C6C"/>
    <w:rsid w:val="00C12938"/>
    <w:rsid w:val="00C15708"/>
    <w:rsid w:val="00C15D54"/>
    <w:rsid w:val="00C179DD"/>
    <w:rsid w:val="00C17F76"/>
    <w:rsid w:val="00C212C6"/>
    <w:rsid w:val="00C23C2E"/>
    <w:rsid w:val="00C25728"/>
    <w:rsid w:val="00C25A38"/>
    <w:rsid w:val="00C37999"/>
    <w:rsid w:val="00C44100"/>
    <w:rsid w:val="00C47337"/>
    <w:rsid w:val="00C52721"/>
    <w:rsid w:val="00C57918"/>
    <w:rsid w:val="00C57999"/>
    <w:rsid w:val="00C601C2"/>
    <w:rsid w:val="00C61F5D"/>
    <w:rsid w:val="00C62911"/>
    <w:rsid w:val="00C754BB"/>
    <w:rsid w:val="00C779AC"/>
    <w:rsid w:val="00C8041F"/>
    <w:rsid w:val="00C87CB2"/>
    <w:rsid w:val="00C9103C"/>
    <w:rsid w:val="00C93E18"/>
    <w:rsid w:val="00CA03F3"/>
    <w:rsid w:val="00CA04BA"/>
    <w:rsid w:val="00CA2054"/>
    <w:rsid w:val="00CA4E64"/>
    <w:rsid w:val="00CA54C8"/>
    <w:rsid w:val="00CB2ECF"/>
    <w:rsid w:val="00CC2D0A"/>
    <w:rsid w:val="00CD2E3E"/>
    <w:rsid w:val="00CD2ED7"/>
    <w:rsid w:val="00CD4BC1"/>
    <w:rsid w:val="00CD4E41"/>
    <w:rsid w:val="00CD6FF7"/>
    <w:rsid w:val="00CD70CB"/>
    <w:rsid w:val="00CD798B"/>
    <w:rsid w:val="00CD7FF9"/>
    <w:rsid w:val="00CF097A"/>
    <w:rsid w:val="00CF4F62"/>
    <w:rsid w:val="00CF4FC5"/>
    <w:rsid w:val="00CF5674"/>
    <w:rsid w:val="00CF66B7"/>
    <w:rsid w:val="00CF70AE"/>
    <w:rsid w:val="00D020F1"/>
    <w:rsid w:val="00D1472C"/>
    <w:rsid w:val="00D21AD8"/>
    <w:rsid w:val="00D25029"/>
    <w:rsid w:val="00D261B7"/>
    <w:rsid w:val="00D31EFF"/>
    <w:rsid w:val="00D35EBB"/>
    <w:rsid w:val="00D41D1B"/>
    <w:rsid w:val="00D42CAC"/>
    <w:rsid w:val="00D44151"/>
    <w:rsid w:val="00D44322"/>
    <w:rsid w:val="00D46C33"/>
    <w:rsid w:val="00D559B5"/>
    <w:rsid w:val="00D56284"/>
    <w:rsid w:val="00D56444"/>
    <w:rsid w:val="00D579AA"/>
    <w:rsid w:val="00D61FDE"/>
    <w:rsid w:val="00D62D68"/>
    <w:rsid w:val="00D64A19"/>
    <w:rsid w:val="00D66E94"/>
    <w:rsid w:val="00D6713E"/>
    <w:rsid w:val="00D67652"/>
    <w:rsid w:val="00D75A39"/>
    <w:rsid w:val="00D76B37"/>
    <w:rsid w:val="00D76FF2"/>
    <w:rsid w:val="00D82735"/>
    <w:rsid w:val="00D82978"/>
    <w:rsid w:val="00D83AAE"/>
    <w:rsid w:val="00D864B6"/>
    <w:rsid w:val="00D91803"/>
    <w:rsid w:val="00D92487"/>
    <w:rsid w:val="00D92BAF"/>
    <w:rsid w:val="00D939F9"/>
    <w:rsid w:val="00D93D6B"/>
    <w:rsid w:val="00DA0801"/>
    <w:rsid w:val="00DA4A68"/>
    <w:rsid w:val="00DB001C"/>
    <w:rsid w:val="00DB04F5"/>
    <w:rsid w:val="00DB1D5D"/>
    <w:rsid w:val="00DB25CC"/>
    <w:rsid w:val="00DB4893"/>
    <w:rsid w:val="00DB53B6"/>
    <w:rsid w:val="00DB5C89"/>
    <w:rsid w:val="00DC3EB1"/>
    <w:rsid w:val="00DC5A97"/>
    <w:rsid w:val="00DC7B18"/>
    <w:rsid w:val="00DD0001"/>
    <w:rsid w:val="00DD392F"/>
    <w:rsid w:val="00DD6A45"/>
    <w:rsid w:val="00DE10B3"/>
    <w:rsid w:val="00DE560D"/>
    <w:rsid w:val="00DF0C07"/>
    <w:rsid w:val="00DF22B4"/>
    <w:rsid w:val="00DF388A"/>
    <w:rsid w:val="00DF4F47"/>
    <w:rsid w:val="00E0069A"/>
    <w:rsid w:val="00E00F81"/>
    <w:rsid w:val="00E0561C"/>
    <w:rsid w:val="00E05E21"/>
    <w:rsid w:val="00E113B1"/>
    <w:rsid w:val="00E1327B"/>
    <w:rsid w:val="00E1505D"/>
    <w:rsid w:val="00E243F3"/>
    <w:rsid w:val="00E25E10"/>
    <w:rsid w:val="00E30F2A"/>
    <w:rsid w:val="00E310B6"/>
    <w:rsid w:val="00E32902"/>
    <w:rsid w:val="00E35461"/>
    <w:rsid w:val="00E35B53"/>
    <w:rsid w:val="00E363E9"/>
    <w:rsid w:val="00E4476B"/>
    <w:rsid w:val="00E46E94"/>
    <w:rsid w:val="00E47BAB"/>
    <w:rsid w:val="00E5205C"/>
    <w:rsid w:val="00E532EE"/>
    <w:rsid w:val="00E55A17"/>
    <w:rsid w:val="00E62A76"/>
    <w:rsid w:val="00E64014"/>
    <w:rsid w:val="00E64812"/>
    <w:rsid w:val="00E6625F"/>
    <w:rsid w:val="00E67D9F"/>
    <w:rsid w:val="00E76D38"/>
    <w:rsid w:val="00E84B94"/>
    <w:rsid w:val="00E86D99"/>
    <w:rsid w:val="00E86EF1"/>
    <w:rsid w:val="00E91648"/>
    <w:rsid w:val="00E95497"/>
    <w:rsid w:val="00E9587D"/>
    <w:rsid w:val="00E95957"/>
    <w:rsid w:val="00E96117"/>
    <w:rsid w:val="00E9683E"/>
    <w:rsid w:val="00E97196"/>
    <w:rsid w:val="00E97A87"/>
    <w:rsid w:val="00EA273A"/>
    <w:rsid w:val="00EA5DDE"/>
    <w:rsid w:val="00EA7818"/>
    <w:rsid w:val="00EA791C"/>
    <w:rsid w:val="00EB306E"/>
    <w:rsid w:val="00EB4ADF"/>
    <w:rsid w:val="00EC17D2"/>
    <w:rsid w:val="00EC27E9"/>
    <w:rsid w:val="00EC60A7"/>
    <w:rsid w:val="00ED1113"/>
    <w:rsid w:val="00ED1667"/>
    <w:rsid w:val="00ED1849"/>
    <w:rsid w:val="00ED68DE"/>
    <w:rsid w:val="00EE21B4"/>
    <w:rsid w:val="00EE249B"/>
    <w:rsid w:val="00EE5630"/>
    <w:rsid w:val="00EF1031"/>
    <w:rsid w:val="00EF138D"/>
    <w:rsid w:val="00EF2C5B"/>
    <w:rsid w:val="00EF6EC1"/>
    <w:rsid w:val="00F015E4"/>
    <w:rsid w:val="00F04548"/>
    <w:rsid w:val="00F045AC"/>
    <w:rsid w:val="00F05B1F"/>
    <w:rsid w:val="00F06FBF"/>
    <w:rsid w:val="00F10ABC"/>
    <w:rsid w:val="00F140EF"/>
    <w:rsid w:val="00F1557E"/>
    <w:rsid w:val="00F20219"/>
    <w:rsid w:val="00F20503"/>
    <w:rsid w:val="00F26DF4"/>
    <w:rsid w:val="00F27B72"/>
    <w:rsid w:val="00F34C77"/>
    <w:rsid w:val="00F36B5F"/>
    <w:rsid w:val="00F41822"/>
    <w:rsid w:val="00F450EC"/>
    <w:rsid w:val="00F5479D"/>
    <w:rsid w:val="00F54B28"/>
    <w:rsid w:val="00F55B19"/>
    <w:rsid w:val="00F57A30"/>
    <w:rsid w:val="00F64254"/>
    <w:rsid w:val="00F64C9D"/>
    <w:rsid w:val="00F658BB"/>
    <w:rsid w:val="00F722AF"/>
    <w:rsid w:val="00F73F24"/>
    <w:rsid w:val="00F77A17"/>
    <w:rsid w:val="00F8712E"/>
    <w:rsid w:val="00F90585"/>
    <w:rsid w:val="00F9618F"/>
    <w:rsid w:val="00FA15BE"/>
    <w:rsid w:val="00FA5713"/>
    <w:rsid w:val="00FA7B4E"/>
    <w:rsid w:val="00FB4E2E"/>
    <w:rsid w:val="00FC07E8"/>
    <w:rsid w:val="00FC45A9"/>
    <w:rsid w:val="00FD0315"/>
    <w:rsid w:val="00FD0561"/>
    <w:rsid w:val="00FD106C"/>
    <w:rsid w:val="00FD36AF"/>
    <w:rsid w:val="00FD4D81"/>
    <w:rsid w:val="00FD5CD4"/>
    <w:rsid w:val="00FD6F1D"/>
    <w:rsid w:val="00FE48CA"/>
    <w:rsid w:val="00FE4C05"/>
    <w:rsid w:val="00FE4EBC"/>
    <w:rsid w:val="00FE521A"/>
    <w:rsid w:val="00FE5E5F"/>
    <w:rsid w:val="00FE647E"/>
    <w:rsid w:val="00FE64FD"/>
    <w:rsid w:val="00FF588D"/>
    <w:rsid w:val="00FF5CAC"/>
    <w:rsid w:val="01050F22"/>
    <w:rsid w:val="01423F24"/>
    <w:rsid w:val="03060A94"/>
    <w:rsid w:val="04C80BE4"/>
    <w:rsid w:val="05BC2350"/>
    <w:rsid w:val="06130ED2"/>
    <w:rsid w:val="067259C9"/>
    <w:rsid w:val="070248E7"/>
    <w:rsid w:val="07050586"/>
    <w:rsid w:val="07163CDC"/>
    <w:rsid w:val="07203C19"/>
    <w:rsid w:val="08282595"/>
    <w:rsid w:val="086329D2"/>
    <w:rsid w:val="08C14368"/>
    <w:rsid w:val="08DC6494"/>
    <w:rsid w:val="09567328"/>
    <w:rsid w:val="09FF6B01"/>
    <w:rsid w:val="0A5B2AD2"/>
    <w:rsid w:val="0AEC7E43"/>
    <w:rsid w:val="0B1C0F00"/>
    <w:rsid w:val="0B5818D3"/>
    <w:rsid w:val="0C4607A3"/>
    <w:rsid w:val="0EB13E7D"/>
    <w:rsid w:val="115A0CFE"/>
    <w:rsid w:val="12352A26"/>
    <w:rsid w:val="12625ACF"/>
    <w:rsid w:val="12F85C8F"/>
    <w:rsid w:val="14B01173"/>
    <w:rsid w:val="153F5B8C"/>
    <w:rsid w:val="15771B45"/>
    <w:rsid w:val="1652302D"/>
    <w:rsid w:val="16904DBA"/>
    <w:rsid w:val="16DE279A"/>
    <w:rsid w:val="17A07836"/>
    <w:rsid w:val="17C40F61"/>
    <w:rsid w:val="18172C26"/>
    <w:rsid w:val="18397C4D"/>
    <w:rsid w:val="188729C7"/>
    <w:rsid w:val="19261D4C"/>
    <w:rsid w:val="1AC629FA"/>
    <w:rsid w:val="1B3B7C4D"/>
    <w:rsid w:val="1B9206DD"/>
    <w:rsid w:val="1B961319"/>
    <w:rsid w:val="1C7B09EC"/>
    <w:rsid w:val="1D2B0397"/>
    <w:rsid w:val="1D4132E8"/>
    <w:rsid w:val="20FC3C98"/>
    <w:rsid w:val="2200396C"/>
    <w:rsid w:val="2369138D"/>
    <w:rsid w:val="24DB0B7D"/>
    <w:rsid w:val="24FC303A"/>
    <w:rsid w:val="255241B3"/>
    <w:rsid w:val="25667F11"/>
    <w:rsid w:val="25895CD0"/>
    <w:rsid w:val="267E3DC9"/>
    <w:rsid w:val="26B11D6D"/>
    <w:rsid w:val="26C012C4"/>
    <w:rsid w:val="2A9951C0"/>
    <w:rsid w:val="2BCE53A3"/>
    <w:rsid w:val="2C192F0A"/>
    <w:rsid w:val="2CC6515A"/>
    <w:rsid w:val="2D8807E5"/>
    <w:rsid w:val="2ECA63A4"/>
    <w:rsid w:val="2ED85923"/>
    <w:rsid w:val="300366FC"/>
    <w:rsid w:val="30357C36"/>
    <w:rsid w:val="309B06AC"/>
    <w:rsid w:val="3253110B"/>
    <w:rsid w:val="32930FAB"/>
    <w:rsid w:val="33B955C8"/>
    <w:rsid w:val="35A973C7"/>
    <w:rsid w:val="362659DF"/>
    <w:rsid w:val="371B0E37"/>
    <w:rsid w:val="385D3B87"/>
    <w:rsid w:val="387C676E"/>
    <w:rsid w:val="397B5B8C"/>
    <w:rsid w:val="39E43470"/>
    <w:rsid w:val="3AF11EE4"/>
    <w:rsid w:val="3D144EC9"/>
    <w:rsid w:val="3E1D4B75"/>
    <w:rsid w:val="3FB56B0D"/>
    <w:rsid w:val="40A1482B"/>
    <w:rsid w:val="41193901"/>
    <w:rsid w:val="424566C9"/>
    <w:rsid w:val="435B2648"/>
    <w:rsid w:val="435D35E9"/>
    <w:rsid w:val="43707977"/>
    <w:rsid w:val="44266C64"/>
    <w:rsid w:val="44786980"/>
    <w:rsid w:val="462179C5"/>
    <w:rsid w:val="463F1768"/>
    <w:rsid w:val="48670933"/>
    <w:rsid w:val="495517EF"/>
    <w:rsid w:val="4A196CF5"/>
    <w:rsid w:val="4B0F3D5E"/>
    <w:rsid w:val="4B6965DE"/>
    <w:rsid w:val="4D0F52FA"/>
    <w:rsid w:val="4D2067D1"/>
    <w:rsid w:val="4D586D60"/>
    <w:rsid w:val="4D807BBD"/>
    <w:rsid w:val="4D815731"/>
    <w:rsid w:val="4E871DDE"/>
    <w:rsid w:val="50240B3C"/>
    <w:rsid w:val="50A630E6"/>
    <w:rsid w:val="50B27FD3"/>
    <w:rsid w:val="52291B2F"/>
    <w:rsid w:val="52B15FA1"/>
    <w:rsid w:val="52EA19B5"/>
    <w:rsid w:val="53B10062"/>
    <w:rsid w:val="53BB58C1"/>
    <w:rsid w:val="53C8509C"/>
    <w:rsid w:val="53D1353E"/>
    <w:rsid w:val="55FC3817"/>
    <w:rsid w:val="568B7B50"/>
    <w:rsid w:val="57721347"/>
    <w:rsid w:val="582C7B7F"/>
    <w:rsid w:val="59E10199"/>
    <w:rsid w:val="59F82547"/>
    <w:rsid w:val="5A4412E8"/>
    <w:rsid w:val="5A7D56D3"/>
    <w:rsid w:val="5AD8750F"/>
    <w:rsid w:val="5B2E375B"/>
    <w:rsid w:val="5B844D7A"/>
    <w:rsid w:val="5CCC7E0C"/>
    <w:rsid w:val="5D397505"/>
    <w:rsid w:val="5D4A130C"/>
    <w:rsid w:val="5D4C079D"/>
    <w:rsid w:val="5E9C4EB9"/>
    <w:rsid w:val="5EC35FF9"/>
    <w:rsid w:val="5FF64584"/>
    <w:rsid w:val="63445736"/>
    <w:rsid w:val="636351B4"/>
    <w:rsid w:val="64932932"/>
    <w:rsid w:val="64DB055B"/>
    <w:rsid w:val="672076A9"/>
    <w:rsid w:val="6C5F0888"/>
    <w:rsid w:val="6CBF5A98"/>
    <w:rsid w:val="6CD752F8"/>
    <w:rsid w:val="6CDE1C1C"/>
    <w:rsid w:val="6D257C6F"/>
    <w:rsid w:val="6D3F500C"/>
    <w:rsid w:val="6E1E2D31"/>
    <w:rsid w:val="6E621785"/>
    <w:rsid w:val="6E7E3639"/>
    <w:rsid w:val="6EEB55FE"/>
    <w:rsid w:val="6F3A05FC"/>
    <w:rsid w:val="6F6A1F57"/>
    <w:rsid w:val="6F926156"/>
    <w:rsid w:val="714F6A99"/>
    <w:rsid w:val="7222419C"/>
    <w:rsid w:val="73455446"/>
    <w:rsid w:val="74215C91"/>
    <w:rsid w:val="74FD05BA"/>
    <w:rsid w:val="752C5ED8"/>
    <w:rsid w:val="754D02F6"/>
    <w:rsid w:val="75CA11B6"/>
    <w:rsid w:val="762E35B4"/>
    <w:rsid w:val="769A1C04"/>
    <w:rsid w:val="771C7DA8"/>
    <w:rsid w:val="77ED0DBA"/>
    <w:rsid w:val="78A51DE3"/>
    <w:rsid w:val="78C237E1"/>
    <w:rsid w:val="79E73ACF"/>
    <w:rsid w:val="7B5351BA"/>
    <w:rsid w:val="7CA53A11"/>
    <w:rsid w:val="7CF70D50"/>
    <w:rsid w:val="7EC87E82"/>
    <w:rsid w:val="7FB316DF"/>
    <w:rsid w:val="7FD45987"/>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qFormat="1" w:uiPriority="0" w:semiHidden="0"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link w:val="17"/>
    <w:qFormat/>
    <w:uiPriority w:val="9"/>
    <w:pPr>
      <w:keepNext/>
      <w:keepLines/>
      <w:spacing w:before="340" w:after="330" w:line="578" w:lineRule="auto"/>
      <w:outlineLvl w:val="0"/>
    </w:pPr>
    <w:rPr>
      <w:b/>
      <w:bCs/>
      <w:kern w:val="44"/>
      <w:sz w:val="44"/>
      <w:szCs w:val="44"/>
    </w:rPr>
  </w:style>
  <w:style w:type="paragraph" w:styleId="3">
    <w:name w:val="heading 4"/>
    <w:basedOn w:val="1"/>
    <w:next w:val="1"/>
    <w:qFormat/>
    <w:uiPriority w:val="9"/>
    <w:pPr>
      <w:keepNext/>
      <w:keepLines/>
      <w:spacing w:before="280" w:after="290" w:line="376" w:lineRule="auto"/>
      <w:outlineLvl w:val="3"/>
    </w:pPr>
    <w:rPr>
      <w:rFonts w:ascii="Calibri Light" w:hAnsi="Calibri Light" w:eastAsia="宋体" w:cs="Times New Roman"/>
      <w:b/>
      <w:bCs/>
      <w:sz w:val="28"/>
      <w:szCs w:val="28"/>
    </w:rPr>
  </w:style>
  <w:style w:type="character" w:default="1" w:styleId="14">
    <w:name w:val="Default Paragraph Font"/>
    <w:unhideWhenUsed/>
    <w:qFormat/>
    <w:uiPriority w:val="1"/>
  </w:style>
  <w:style w:type="table" w:default="1" w:styleId="12">
    <w:name w:val="Normal Table"/>
    <w:unhideWhenUsed/>
    <w:qFormat/>
    <w:uiPriority w:val="99"/>
    <w:tblPr>
      <w:tblCellMar>
        <w:top w:w="0" w:type="dxa"/>
        <w:left w:w="108" w:type="dxa"/>
        <w:bottom w:w="0" w:type="dxa"/>
        <w:right w:w="108" w:type="dxa"/>
      </w:tblCellMar>
    </w:tblPr>
  </w:style>
  <w:style w:type="paragraph" w:styleId="4">
    <w:name w:val="table of authorities"/>
    <w:basedOn w:val="1"/>
    <w:next w:val="1"/>
    <w:unhideWhenUsed/>
    <w:qFormat/>
    <w:uiPriority w:val="0"/>
    <w:pPr>
      <w:ind w:left="420" w:leftChars="200"/>
    </w:pPr>
  </w:style>
  <w:style w:type="paragraph" w:styleId="5">
    <w:name w:val="Body Text"/>
    <w:basedOn w:val="1"/>
    <w:link w:val="18"/>
    <w:unhideWhenUsed/>
    <w:qFormat/>
    <w:uiPriority w:val="0"/>
    <w:pPr>
      <w:spacing w:after="120" w:line="560" w:lineRule="exact"/>
      <w:ind w:firstLine="200" w:firstLineChars="200"/>
    </w:pPr>
    <w:rPr>
      <w:rFonts w:ascii="等线" w:hAnsi="等线" w:eastAsia="仿宋_GB2312"/>
      <w:sz w:val="32"/>
      <w:szCs w:val="24"/>
    </w:rPr>
  </w:style>
  <w:style w:type="paragraph" w:styleId="6">
    <w:name w:val="Balloon Text"/>
    <w:basedOn w:val="1"/>
    <w:link w:val="19"/>
    <w:unhideWhenUsed/>
    <w:qFormat/>
    <w:uiPriority w:val="99"/>
    <w:rPr>
      <w:sz w:val="18"/>
      <w:szCs w:val="18"/>
    </w:rPr>
  </w:style>
  <w:style w:type="paragraph" w:styleId="7">
    <w:name w:val="footer"/>
    <w:basedOn w:val="1"/>
    <w:link w:val="20"/>
    <w:unhideWhenUsed/>
    <w:qFormat/>
    <w:uiPriority w:val="99"/>
    <w:pPr>
      <w:tabs>
        <w:tab w:val="center" w:pos="4153"/>
        <w:tab w:val="right" w:pos="8306"/>
      </w:tabs>
      <w:snapToGrid w:val="0"/>
      <w:jc w:val="left"/>
    </w:pPr>
    <w:rPr>
      <w:sz w:val="18"/>
      <w:szCs w:val="18"/>
    </w:rPr>
  </w:style>
  <w:style w:type="paragraph" w:styleId="8">
    <w:name w:val="header"/>
    <w:basedOn w:val="1"/>
    <w:link w:val="21"/>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toc 1"/>
    <w:basedOn w:val="1"/>
    <w:next w:val="1"/>
    <w:unhideWhenUsed/>
    <w:qFormat/>
    <w:uiPriority w:val="39"/>
  </w:style>
  <w:style w:type="paragraph" w:styleId="10">
    <w:name w:val="toc 2"/>
    <w:basedOn w:val="1"/>
    <w:next w:val="1"/>
    <w:unhideWhenUsed/>
    <w:qFormat/>
    <w:uiPriority w:val="39"/>
    <w:pPr>
      <w:ind w:left="420" w:leftChars="200"/>
    </w:pPr>
  </w:style>
  <w:style w:type="paragraph" w:styleId="11">
    <w:name w:val="Normal (Web)"/>
    <w:basedOn w:val="1"/>
    <w:unhideWhenUsed/>
    <w:qFormat/>
    <w:uiPriority w:val="0"/>
    <w:pPr>
      <w:widowControl/>
      <w:spacing w:before="100" w:beforeAutospacing="1" w:after="100" w:afterAutospacing="1"/>
      <w:jc w:val="left"/>
    </w:pPr>
    <w:rPr>
      <w:rFonts w:ascii="宋体" w:hAnsi="宋体" w:cs="宋体"/>
      <w:kern w:val="0"/>
      <w:sz w:val="24"/>
      <w:szCs w:val="24"/>
    </w:rPr>
  </w:style>
  <w:style w:type="table" w:styleId="13">
    <w:name w:val="Table Grid"/>
    <w:basedOn w:val="1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qFormat/>
    <w:uiPriority w:val="22"/>
    <w:rPr>
      <w:b/>
      <w:bCs/>
    </w:rPr>
  </w:style>
  <w:style w:type="character" w:styleId="16">
    <w:name w:val="Hyperlink"/>
    <w:basedOn w:val="14"/>
    <w:unhideWhenUsed/>
    <w:qFormat/>
    <w:uiPriority w:val="99"/>
    <w:rPr>
      <w:color w:val="0563C1"/>
      <w:u w:val="single"/>
    </w:rPr>
  </w:style>
  <w:style w:type="character" w:customStyle="1" w:styleId="17">
    <w:name w:val="标题 1 Char"/>
    <w:link w:val="2"/>
    <w:qFormat/>
    <w:uiPriority w:val="9"/>
    <w:rPr>
      <w:b/>
      <w:bCs/>
      <w:kern w:val="44"/>
      <w:sz w:val="44"/>
      <w:szCs w:val="44"/>
    </w:rPr>
  </w:style>
  <w:style w:type="character" w:customStyle="1" w:styleId="18">
    <w:name w:val="正文文本 Char"/>
    <w:link w:val="5"/>
    <w:qFormat/>
    <w:uiPriority w:val="0"/>
    <w:rPr>
      <w:rFonts w:ascii="等线" w:hAnsi="等线" w:eastAsia="仿宋_GB2312"/>
      <w:kern w:val="2"/>
      <w:sz w:val="32"/>
      <w:szCs w:val="24"/>
    </w:rPr>
  </w:style>
  <w:style w:type="character" w:customStyle="1" w:styleId="19">
    <w:name w:val="批注框文本 Char"/>
    <w:link w:val="6"/>
    <w:semiHidden/>
    <w:qFormat/>
    <w:uiPriority w:val="99"/>
    <w:rPr>
      <w:kern w:val="2"/>
      <w:sz w:val="18"/>
      <w:szCs w:val="18"/>
    </w:rPr>
  </w:style>
  <w:style w:type="character" w:customStyle="1" w:styleId="20">
    <w:name w:val="页脚 Char"/>
    <w:link w:val="7"/>
    <w:qFormat/>
    <w:uiPriority w:val="99"/>
    <w:rPr>
      <w:kern w:val="2"/>
      <w:sz w:val="18"/>
      <w:szCs w:val="18"/>
    </w:rPr>
  </w:style>
  <w:style w:type="character" w:customStyle="1" w:styleId="21">
    <w:name w:val="页眉 Char"/>
    <w:link w:val="8"/>
    <w:semiHidden/>
    <w:qFormat/>
    <w:uiPriority w:val="99"/>
    <w:rPr>
      <w:kern w:val="2"/>
      <w:sz w:val="18"/>
      <w:szCs w:val="18"/>
    </w:rPr>
  </w:style>
  <w:style w:type="character" w:customStyle="1" w:styleId="22">
    <w:name w:val="页脚 字符"/>
    <w:qFormat/>
    <w:uiPriority w:val="99"/>
  </w:style>
  <w:style w:type="character" w:customStyle="1" w:styleId="23">
    <w:name w:val="南京正文 字符"/>
    <w:link w:val="24"/>
    <w:qFormat/>
    <w:uiPriority w:val="0"/>
    <w:rPr>
      <w:rFonts w:eastAsia="仿宋"/>
      <w:sz w:val="32"/>
      <w:szCs w:val="28"/>
      <w:lang w:val="zh-CN" w:eastAsia="en-US" w:bidi="en-US"/>
    </w:rPr>
  </w:style>
  <w:style w:type="paragraph" w:customStyle="1" w:styleId="24">
    <w:name w:val="南京正文"/>
    <w:basedOn w:val="1"/>
    <w:link w:val="23"/>
    <w:qFormat/>
    <w:uiPriority w:val="0"/>
    <w:pPr>
      <w:widowControl/>
      <w:spacing w:after="200" w:line="560" w:lineRule="exact"/>
      <w:ind w:firstLine="200" w:firstLineChars="200"/>
      <w:jc w:val="left"/>
    </w:pPr>
    <w:rPr>
      <w:rFonts w:eastAsia="仿宋"/>
      <w:kern w:val="0"/>
      <w:sz w:val="32"/>
      <w:szCs w:val="28"/>
      <w:lang w:val="zh-CN" w:eastAsia="en-US" w:bidi="en-US"/>
    </w:rPr>
  </w:style>
  <w:style w:type="paragraph" w:customStyle="1" w:styleId="25">
    <w:name w:val="黑体1"/>
    <w:basedOn w:val="1"/>
    <w:link w:val="26"/>
    <w:qFormat/>
    <w:uiPriority w:val="0"/>
    <w:pPr>
      <w:widowControl/>
      <w:overflowPunct w:val="0"/>
      <w:autoSpaceDE w:val="0"/>
      <w:autoSpaceDN w:val="0"/>
      <w:adjustRightInd w:val="0"/>
      <w:spacing w:line="560" w:lineRule="exact"/>
      <w:ind w:firstLine="803" w:firstLineChars="250"/>
      <w:textAlignment w:val="baseline"/>
    </w:pPr>
    <w:rPr>
      <w:rFonts w:ascii="黑体" w:hAnsi="黑体" w:eastAsia="黑体"/>
      <w:b/>
      <w:kern w:val="0"/>
      <w:sz w:val="32"/>
      <w:szCs w:val="28"/>
    </w:rPr>
  </w:style>
  <w:style w:type="character" w:customStyle="1" w:styleId="26">
    <w:name w:val="黑体1 Char"/>
    <w:link w:val="25"/>
    <w:qFormat/>
    <w:uiPriority w:val="0"/>
    <w:rPr>
      <w:rFonts w:ascii="黑体" w:hAnsi="黑体" w:eastAsia="黑体"/>
      <w:b/>
      <w:sz w:val="32"/>
      <w:szCs w:val="28"/>
    </w:rPr>
  </w:style>
  <w:style w:type="paragraph" w:customStyle="1" w:styleId="27">
    <w:name w:val="_Style 26"/>
    <w:basedOn w:val="2"/>
    <w:next w:val="1"/>
    <w:qFormat/>
    <w:uiPriority w:val="39"/>
    <w:pPr>
      <w:widowControl/>
      <w:spacing w:before="240" w:after="0" w:line="259" w:lineRule="auto"/>
      <w:jc w:val="left"/>
      <w:outlineLvl w:val="9"/>
    </w:pPr>
    <w:rPr>
      <w:rFonts w:ascii="等线 Light" w:hAnsi="等线 Light" w:eastAsia="等线 Light" w:cs="Times New Roman"/>
      <w:b w:val="0"/>
      <w:bCs w:val="0"/>
      <w:color w:val="2F5496"/>
      <w:kern w:val="0"/>
      <w:sz w:val="32"/>
      <w:szCs w:val="32"/>
    </w:rPr>
  </w:style>
  <w:style w:type="paragraph" w:customStyle="1" w:styleId="28">
    <w:name w:val="段"/>
    <w:next w:val="1"/>
    <w:qFormat/>
    <w:uiPriority w:val="0"/>
    <w:pPr>
      <w:autoSpaceDE w:val="0"/>
      <w:autoSpaceDN w:val="0"/>
      <w:ind w:firstLine="200"/>
      <w:jc w:val="both"/>
    </w:pPr>
    <w:rPr>
      <w:rFonts w:ascii="宋体" w:hAnsi="Times New Roman" w:eastAsia="宋体" w:cs="Times New Roman"/>
      <w:sz w:val="21"/>
      <w:szCs w:val="22"/>
      <w:lang w:val="en-US" w:eastAsia="zh-CN" w:bidi="ar-SA"/>
    </w:rPr>
  </w:style>
  <w:style w:type="paragraph" w:styleId="29">
    <w:name w:val="List Paragraph"/>
    <w:basedOn w:val="1"/>
    <w:qFormat/>
    <w:uiPriority w:val="34"/>
    <w:pPr>
      <w:widowControl/>
      <w:ind w:firstLine="420" w:firstLineChars="200"/>
      <w:jc w:val="left"/>
    </w:pPr>
    <w:rPr>
      <w:rFonts w:ascii="宋体" w:hAnsi="宋体" w:cs="宋体"/>
      <w:kern w:val="0"/>
      <w:sz w:val="24"/>
      <w:szCs w:val="24"/>
    </w:rPr>
  </w:style>
  <w:style w:type="paragraph" w:customStyle="1" w:styleId="30">
    <w:name w:val="正文标准1"/>
    <w:basedOn w:val="1"/>
    <w:next w:val="1"/>
    <w:qFormat/>
    <w:uiPriority w:val="99"/>
    <w:pPr>
      <w:adjustRightInd w:val="0"/>
      <w:snapToGrid w:val="0"/>
      <w:spacing w:line="560" w:lineRule="exact"/>
      <w:ind w:firstLine="640" w:firstLineChars="200"/>
    </w:pPr>
    <w:rPr>
      <w:rFonts w:ascii="Times New Roman" w:hAnsi="Times New Roman" w:eastAsia="仿宋_GB2312"/>
      <w:sz w:val="32"/>
      <w:szCs w:val="32"/>
    </w:rPr>
  </w:style>
  <w:style w:type="paragraph" w:customStyle="1" w:styleId="31">
    <w:name w:val="Table Text"/>
    <w:basedOn w:val="1"/>
    <w:semiHidden/>
    <w:qFormat/>
    <w:uiPriority w:val="0"/>
    <w:rPr>
      <w:rFonts w:ascii="宋体" w:hAnsi="宋体" w:eastAsia="宋体" w:cs="宋体"/>
      <w:sz w:val="15"/>
      <w:szCs w:val="15"/>
      <w:lang w:val="en-US" w:eastAsia="en-US" w:bidi="ar-SA"/>
    </w:rPr>
  </w:style>
  <w:style w:type="paragraph" w:customStyle="1" w:styleId="32">
    <w:name w:val="正文-公1"/>
    <w:basedOn w:val="33"/>
    <w:next w:val="1"/>
    <w:qFormat/>
    <w:uiPriority w:val="0"/>
    <w:pPr>
      <w:ind w:firstLine="200" w:firstLineChars="200"/>
      <w:jc w:val="both"/>
    </w:pPr>
    <w:rPr>
      <w:lang w:val="en-US" w:eastAsia="zh-CN"/>
    </w:rPr>
  </w:style>
  <w:style w:type="paragraph" w:customStyle="1" w:styleId="33">
    <w:name w:val="正文 New New New New New New New New New New New New New New New New New New New New New New New New New New New New New New New New New New New New New New New New New New New New New New New New New New New New New New New New New New New New New New Ne"/>
    <w:next w:val="32"/>
    <w:qFormat/>
    <w:uiPriority w:val="0"/>
    <w:pPr>
      <w:widowControl w:val="0"/>
      <w:jc w:val="both"/>
    </w:pPr>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LENOVO CUSTOMER</Company>
  <Pages>31</Pages>
  <Words>222</Words>
  <Characters>234</Characters>
  <Lines>102</Lines>
  <Paragraphs>28</Paragraphs>
  <TotalTime>73</TotalTime>
  <ScaleCrop>false</ScaleCrop>
  <LinksUpToDate>false</LinksUpToDate>
  <CharactersWithSpaces>251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2025-09-18T04:15:00Z</dcterms:created>
  <dc:creator>LENOVO USER</dc:creator>
  <cp:lastModifiedBy>火龙果</cp:lastModifiedBy>
  <cp:lastPrinted>2024-09-18T01:38:00Z</cp:lastPrinted>
  <dcterms:modified xsi:type="dcterms:W3CDTF">2026-09-17T03:20:00Z</dcterms:modified>
  <dc:title>附1-2：</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C0A5EF5DE39948B5B900A0775B42CCF2_13</vt:lpwstr>
  </property>
  <property fmtid="{D5CDD505-2E9C-101B-9397-08002B2CF9AE}" pid="4" name="KSOTemplateDocerSaveRecord">
    <vt:lpwstr>eyJoZGlkIjoiZjFmYzBhZDkwMjJmNjYyNzBhODM0MjQ3ZmYyYzgxOTMiLCJ1c2VySWQiOiI2NjcyMjg2NzMifQ==</vt:lpwstr>
  </property>
</Properties>
</file>