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773D29">
      <w:pPr>
        <w:spacing w:line="640" w:lineRule="exact"/>
        <w:ind w:firstLine="0" w:firstLineChars="0"/>
        <w:jc w:val="center"/>
        <w:outlineLvl w:val="0"/>
        <w:rPr>
          <w:rFonts w:ascii="Times New Roman" w:hAnsi="Times New Roman" w:eastAsia="方正小标宋_GBK"/>
          <w:bCs/>
          <w:sz w:val="44"/>
          <w:szCs w:val="44"/>
        </w:rPr>
      </w:pPr>
      <w:bookmarkStart w:id="0" w:name="_Toc5724"/>
      <w:bookmarkStart w:id="1" w:name="_Toc9929"/>
      <w:bookmarkStart w:id="2" w:name="_Toc29189"/>
    </w:p>
    <w:p w14:paraId="4EFD8177">
      <w:pPr>
        <w:pStyle w:val="5"/>
        <w:ind w:firstLine="562"/>
        <w:rPr>
          <w:rFonts w:ascii="Times New Roman" w:hAnsi="Times New Roman"/>
        </w:rPr>
      </w:pPr>
    </w:p>
    <w:p w14:paraId="7E1C59C8">
      <w:pPr>
        <w:spacing w:line="600" w:lineRule="exact"/>
        <w:ind w:firstLine="640"/>
        <w:rPr>
          <w:rFonts w:ascii="Times New Roman" w:hAnsi="Times New Roman" w:eastAsia="方正黑体_GBK"/>
        </w:rPr>
      </w:pPr>
    </w:p>
    <w:p w14:paraId="27153F42">
      <w:pPr>
        <w:spacing w:line="640" w:lineRule="exact"/>
        <w:ind w:firstLine="0" w:firstLineChars="0"/>
        <w:jc w:val="center"/>
        <w:outlineLvl w:val="0"/>
        <w:rPr>
          <w:rFonts w:ascii="Times New Roman" w:hAnsi="Times New Roman" w:eastAsia="方正小标宋_GBK"/>
          <w:bCs/>
          <w:sz w:val="44"/>
          <w:szCs w:val="44"/>
        </w:rPr>
      </w:pPr>
    </w:p>
    <w:p w14:paraId="42610A0D">
      <w:pPr>
        <w:spacing w:line="900" w:lineRule="exact"/>
        <w:ind w:firstLine="0" w:firstLineChars="0"/>
        <w:jc w:val="center"/>
        <w:outlineLvl w:val="0"/>
        <w:rPr>
          <w:rFonts w:ascii="Times New Roman" w:hAnsi="Times New Roman" w:eastAsia="方正小标宋_GBK"/>
          <w:bCs/>
          <w:sz w:val="52"/>
          <w:szCs w:val="52"/>
        </w:rPr>
      </w:pPr>
      <w:r>
        <w:rPr>
          <w:rFonts w:ascii="Times New Roman" w:hAnsi="Times New Roman" w:eastAsia="方正小标宋_GBK"/>
          <w:bCs/>
          <w:sz w:val="52"/>
          <w:szCs w:val="52"/>
        </w:rPr>
        <w:t>2025年度南京市妇女联合会</w:t>
      </w:r>
    </w:p>
    <w:p w14:paraId="5B662546">
      <w:pPr>
        <w:spacing w:line="900" w:lineRule="exact"/>
        <w:ind w:firstLine="0" w:firstLineChars="0"/>
        <w:jc w:val="center"/>
        <w:outlineLvl w:val="0"/>
        <w:rPr>
          <w:rFonts w:ascii="Times New Roman" w:hAnsi="Times New Roman" w:eastAsia="方正小标宋_GBK"/>
          <w:bCs/>
          <w:sz w:val="52"/>
          <w:szCs w:val="52"/>
        </w:rPr>
      </w:pPr>
      <w:r>
        <w:rPr>
          <w:rFonts w:ascii="Times New Roman" w:hAnsi="Times New Roman" w:eastAsia="方正小标宋_GBK"/>
          <w:bCs/>
          <w:sz w:val="52"/>
          <w:szCs w:val="52"/>
        </w:rPr>
        <w:t>整体预算绩效自评价报告</w:t>
      </w:r>
    </w:p>
    <w:p w14:paraId="1465A06C">
      <w:pPr>
        <w:ind w:firstLine="0" w:firstLineChars="0"/>
        <w:jc w:val="center"/>
        <w:outlineLvl w:val="0"/>
        <w:rPr>
          <w:rFonts w:ascii="Times New Roman" w:hAnsi="Times New Roman" w:eastAsia="黑体"/>
          <w:bCs/>
        </w:rPr>
      </w:pPr>
    </w:p>
    <w:p w14:paraId="49A8D7FF">
      <w:pPr>
        <w:spacing w:line="600" w:lineRule="exact"/>
        <w:ind w:firstLine="640"/>
        <w:rPr>
          <w:rFonts w:ascii="Times New Roman" w:hAnsi="Times New Roman" w:eastAsia="方正黑体_GBK"/>
        </w:rPr>
      </w:pPr>
      <w:bookmarkStart w:id="3" w:name="_Toc29299"/>
      <w:bookmarkStart w:id="4" w:name="_Toc46246268"/>
    </w:p>
    <w:p w14:paraId="1C276DB8">
      <w:pPr>
        <w:ind w:firstLine="640"/>
        <w:rPr>
          <w:rFonts w:ascii="Times New Roman" w:hAnsi="Times New Roman"/>
        </w:rPr>
      </w:pPr>
    </w:p>
    <w:p w14:paraId="6E3323F1">
      <w:pPr>
        <w:spacing w:line="600" w:lineRule="exact"/>
        <w:ind w:firstLine="640"/>
        <w:rPr>
          <w:rFonts w:ascii="Times New Roman" w:hAnsi="Times New Roman" w:eastAsia="方正黑体_GBK"/>
        </w:rPr>
      </w:pPr>
    </w:p>
    <w:p w14:paraId="63067F06">
      <w:pPr>
        <w:spacing w:line="600" w:lineRule="exact"/>
        <w:ind w:firstLine="640"/>
        <w:rPr>
          <w:rFonts w:ascii="Times New Roman" w:hAnsi="Times New Roman" w:eastAsia="方正黑体_GBK"/>
        </w:rPr>
      </w:pPr>
    </w:p>
    <w:p w14:paraId="12EE86B5">
      <w:pPr>
        <w:pStyle w:val="30"/>
        <w:ind w:firstLine="420"/>
        <w:rPr>
          <w:rFonts w:eastAsia="方正黑体_GBK"/>
        </w:rPr>
      </w:pPr>
    </w:p>
    <w:p w14:paraId="29AD74BD">
      <w:pPr>
        <w:ind w:firstLine="640"/>
        <w:rPr>
          <w:rFonts w:ascii="Times New Roman" w:hAnsi="Times New Roman" w:eastAsia="方正黑体_GBK"/>
        </w:rPr>
      </w:pPr>
    </w:p>
    <w:p w14:paraId="626ACF27">
      <w:pPr>
        <w:pStyle w:val="30"/>
        <w:ind w:firstLine="420"/>
        <w:rPr>
          <w:rFonts w:eastAsia="方正黑体_GBK"/>
        </w:rPr>
      </w:pPr>
    </w:p>
    <w:p w14:paraId="2AE6DC9C">
      <w:pPr>
        <w:ind w:firstLine="640"/>
      </w:pPr>
    </w:p>
    <w:p w14:paraId="304785AE">
      <w:pPr>
        <w:spacing w:line="600" w:lineRule="exact"/>
        <w:ind w:firstLine="640"/>
        <w:rPr>
          <w:rFonts w:ascii="Times New Roman" w:hAnsi="Times New Roman" w:eastAsia="方正黑体_GBK"/>
        </w:rPr>
      </w:pPr>
    </w:p>
    <w:p w14:paraId="75AA92F7">
      <w:pPr>
        <w:adjustRightInd w:val="0"/>
        <w:snapToGrid w:val="0"/>
        <w:spacing w:line="660" w:lineRule="exact"/>
        <w:ind w:firstLine="720"/>
        <w:jc w:val="center"/>
        <w:rPr>
          <w:rFonts w:ascii="Times New Roman" w:hAnsi="Times New Roman" w:eastAsia="方正黑体_GBK"/>
          <w:color w:val="000000"/>
          <w:sz w:val="36"/>
          <w:szCs w:val="36"/>
        </w:rPr>
      </w:pPr>
      <w:r>
        <w:rPr>
          <w:rFonts w:ascii="Times New Roman" w:hAnsi="Times New Roman" w:eastAsia="方正黑体_GBK"/>
          <w:color w:val="000000"/>
          <w:kern w:val="0"/>
          <w:sz w:val="36"/>
          <w:szCs w:val="36"/>
        </w:rPr>
        <w:t>南京市妇女联合会</w:t>
      </w:r>
    </w:p>
    <w:p w14:paraId="5BD8F74B">
      <w:pPr>
        <w:spacing w:line="660" w:lineRule="exact"/>
        <w:ind w:firstLine="720"/>
        <w:jc w:val="center"/>
        <w:rPr>
          <w:rFonts w:ascii="Times New Roman" w:hAnsi="Times New Roman" w:eastAsia="方正黑体_GBK"/>
          <w:color w:val="000000"/>
          <w:sz w:val="36"/>
          <w:szCs w:val="36"/>
        </w:rPr>
      </w:pPr>
      <w:r>
        <w:rPr>
          <w:rFonts w:ascii="Times New Roman" w:hAnsi="Times New Roman" w:eastAsia="方正黑体_GBK"/>
          <w:color w:val="000000"/>
          <w:sz w:val="36"/>
          <w:szCs w:val="36"/>
        </w:rPr>
        <w:t>2026年6月</w:t>
      </w:r>
    </w:p>
    <w:p w14:paraId="442EA4FD">
      <w:pPr>
        <w:spacing w:line="600" w:lineRule="exact"/>
        <w:ind w:firstLine="640"/>
        <w:rPr>
          <w:rFonts w:ascii="Times New Roman" w:hAnsi="Times New Roman" w:eastAsia="方正黑体_GBK"/>
        </w:rPr>
      </w:pPr>
    </w:p>
    <w:p w14:paraId="77B1F521">
      <w:pPr>
        <w:pStyle w:val="46"/>
        <w:spacing w:line="560" w:lineRule="exact"/>
        <w:ind w:firstLine="883"/>
        <w:jc w:val="center"/>
        <w:rPr>
          <w:rFonts w:ascii="Times New Roman" w:hAnsi="Times New Roman" w:eastAsia="宋体"/>
          <w:b/>
          <w:bCs/>
          <w:color w:val="auto"/>
          <w:sz w:val="44"/>
          <w:szCs w:val="44"/>
          <w:lang w:val="zh-CN"/>
        </w:rPr>
        <w:sectPr>
          <w:headerReference r:id="rId7" w:type="first"/>
          <w:footerReference r:id="rId10" w:type="first"/>
          <w:headerReference r:id="rId5" w:type="default"/>
          <w:footerReference r:id="rId8" w:type="default"/>
          <w:headerReference r:id="rId6" w:type="even"/>
          <w:footerReference r:id="rId9" w:type="even"/>
          <w:pgSz w:w="11906" w:h="16838"/>
          <w:pgMar w:top="1701" w:right="1474" w:bottom="1474" w:left="1474" w:header="737" w:footer="1474" w:gutter="0"/>
          <w:pgNumType w:start="1"/>
          <w:cols w:space="720" w:num="1"/>
          <w:docGrid w:type="lines" w:linePitch="441" w:charSpace="0"/>
        </w:sectPr>
      </w:pPr>
    </w:p>
    <w:p w14:paraId="11423532">
      <w:pPr>
        <w:pStyle w:val="46"/>
        <w:spacing w:line="560" w:lineRule="exact"/>
        <w:ind w:firstLine="0" w:firstLineChars="0"/>
        <w:jc w:val="center"/>
        <w:rPr>
          <w:rFonts w:ascii="Times New Roman" w:hAnsi="Times New Roman" w:eastAsia="方正黑体_GBK"/>
          <w:color w:val="auto"/>
          <w:sz w:val="44"/>
          <w:szCs w:val="44"/>
          <w:lang w:val="zh-CN"/>
        </w:rPr>
      </w:pPr>
      <w:r>
        <w:rPr>
          <w:rFonts w:ascii="Times New Roman" w:hAnsi="Times New Roman" w:eastAsia="方正黑体_GBK"/>
          <w:color w:val="auto"/>
          <w:sz w:val="44"/>
          <w:szCs w:val="44"/>
          <w:lang w:val="zh-CN"/>
        </w:rPr>
        <w:t>目</w:t>
      </w:r>
      <w:r>
        <w:rPr>
          <w:rFonts w:ascii="Times New Roman" w:hAnsi="Times New Roman" w:eastAsia="方正黑体_GBK"/>
          <w:color w:val="auto"/>
          <w:sz w:val="44"/>
          <w:szCs w:val="44"/>
        </w:rPr>
        <w:t xml:space="preserve">  </w:t>
      </w:r>
      <w:r>
        <w:rPr>
          <w:rFonts w:ascii="Times New Roman" w:hAnsi="Times New Roman" w:eastAsia="方正黑体_GBK"/>
          <w:color w:val="auto"/>
          <w:sz w:val="44"/>
          <w:szCs w:val="44"/>
          <w:lang w:val="zh-CN"/>
        </w:rPr>
        <w:t>录</w:t>
      </w:r>
    </w:p>
    <w:p w14:paraId="1A99680D">
      <w:pPr>
        <w:ind w:firstLine="560"/>
        <w:rPr>
          <w:rFonts w:ascii="Times New Roman" w:hAnsi="Times New Roman" w:eastAsia="Arial Unicode MS"/>
          <w:sz w:val="28"/>
          <w:szCs w:val="32"/>
        </w:rPr>
      </w:pPr>
    </w:p>
    <w:p w14:paraId="14CD51CD">
      <w:pPr>
        <w:pStyle w:val="12"/>
        <w:tabs>
          <w:tab w:val="right" w:leader="dot" w:pos="8778"/>
        </w:tabs>
        <w:spacing w:line="640" w:lineRule="exact"/>
        <w:ind w:firstLine="640"/>
        <w:jc w:val="left"/>
        <w:rPr>
          <w:rFonts w:ascii="Times New Roman" w:hAnsi="Times New Roman" w:eastAsia="方正仿宋_GBK"/>
          <w:szCs w:val="32"/>
        </w:rPr>
      </w:pPr>
      <w:r>
        <w:rPr>
          <w:rFonts w:ascii="Times New Roman" w:hAnsi="Times New Roman" w:eastAsia="方正仿宋_GBK"/>
          <w:szCs w:val="32"/>
        </w:rPr>
        <w:fldChar w:fldCharType="begin"/>
      </w:r>
      <w:r>
        <w:rPr>
          <w:rFonts w:ascii="Times New Roman" w:hAnsi="Times New Roman" w:eastAsia="方正仿宋_GBK"/>
          <w:szCs w:val="32"/>
        </w:rPr>
        <w:instrText xml:space="preserve"> TOC \o "1-3" \h \z \u </w:instrText>
      </w:r>
      <w:r>
        <w:rPr>
          <w:rFonts w:ascii="Times New Roman" w:hAnsi="Times New Roman" w:eastAsia="方正仿宋_GBK"/>
          <w:szCs w:val="32"/>
        </w:rPr>
        <w:fldChar w:fldCharType="separate"/>
      </w:r>
      <w:r>
        <w:fldChar w:fldCharType="begin"/>
      </w:r>
      <w:r>
        <w:instrText xml:space="preserve"> HYPERLINK \l "_Toc178059775" </w:instrText>
      </w:r>
      <w:r>
        <w:fldChar w:fldCharType="separate"/>
      </w:r>
      <w:r>
        <w:rPr>
          <w:rStyle w:val="20"/>
          <w:rFonts w:ascii="Times New Roman" w:hAnsi="Times New Roman" w:eastAsia="方正仿宋_GBK"/>
          <w:color w:val="auto"/>
          <w:szCs w:val="32"/>
          <w:u w:val="none"/>
        </w:rPr>
        <w:t>一、部门（单位）概况</w:t>
      </w:r>
      <w:r>
        <w:rPr>
          <w:rFonts w:ascii="Times New Roman" w:hAnsi="Times New Roman" w:eastAsia="方正仿宋_GBK"/>
          <w:szCs w:val="32"/>
        </w:rPr>
        <w:tab/>
      </w:r>
      <w:r>
        <w:rPr>
          <w:rFonts w:ascii="Times New Roman" w:hAnsi="Times New Roman" w:eastAsia="方正仿宋_GBK"/>
          <w:szCs w:val="32"/>
        </w:rPr>
        <w:t>1</w:t>
      </w:r>
      <w:r>
        <w:rPr>
          <w:rFonts w:ascii="Times New Roman" w:hAnsi="Times New Roman" w:eastAsia="方正仿宋_GBK"/>
          <w:szCs w:val="32"/>
        </w:rPr>
        <w:fldChar w:fldCharType="end"/>
      </w:r>
    </w:p>
    <w:p w14:paraId="77E03CD8">
      <w:pPr>
        <w:pStyle w:val="14"/>
        <w:widowControl w:val="0"/>
        <w:tabs>
          <w:tab w:val="right" w:leader="dot" w:pos="8778"/>
          <w:tab w:val="clear" w:pos="8296"/>
        </w:tabs>
        <w:spacing w:after="0" w:line="640" w:lineRule="exact"/>
        <w:ind w:left="0" w:firstLine="440"/>
        <w:rPr>
          <w:rFonts w:ascii="Times New Roman" w:hAnsi="Times New Roman" w:eastAsia="方正仿宋_GBK"/>
          <w:sz w:val="32"/>
          <w:szCs w:val="32"/>
        </w:rPr>
      </w:pPr>
      <w:r>
        <w:fldChar w:fldCharType="begin"/>
      </w:r>
      <w:r>
        <w:instrText xml:space="preserve"> HYPERLINK \l "_Toc178059776" </w:instrText>
      </w:r>
      <w:r>
        <w:fldChar w:fldCharType="separate"/>
      </w:r>
      <w:r>
        <w:rPr>
          <w:rStyle w:val="20"/>
          <w:rFonts w:ascii="Times New Roman" w:hAnsi="Times New Roman" w:eastAsia="方正仿宋_GBK"/>
          <w:color w:val="auto"/>
          <w:sz w:val="32"/>
          <w:szCs w:val="32"/>
          <w:u w:val="none"/>
        </w:rPr>
        <w:t>（一）部门（单位）基本情况</w:t>
      </w:r>
      <w:r>
        <w:rPr>
          <w:rFonts w:ascii="Times New Roman" w:hAnsi="Times New Roman" w:eastAsia="方正仿宋_GBK"/>
          <w:sz w:val="32"/>
          <w:szCs w:val="32"/>
        </w:rPr>
        <w:tab/>
      </w:r>
      <w:r>
        <w:rPr>
          <w:rFonts w:ascii="Times New Roman" w:hAnsi="Times New Roman" w:eastAsia="方正仿宋_GBK"/>
          <w:sz w:val="32"/>
          <w:szCs w:val="32"/>
        </w:rPr>
        <w:t>1</w:t>
      </w:r>
      <w:r>
        <w:rPr>
          <w:rFonts w:ascii="Times New Roman" w:hAnsi="Times New Roman" w:eastAsia="方正仿宋_GBK"/>
          <w:sz w:val="32"/>
          <w:szCs w:val="32"/>
        </w:rPr>
        <w:fldChar w:fldCharType="end"/>
      </w:r>
    </w:p>
    <w:p w14:paraId="000BDBDF">
      <w:pPr>
        <w:pStyle w:val="14"/>
        <w:widowControl w:val="0"/>
        <w:tabs>
          <w:tab w:val="right" w:leader="dot" w:pos="8778"/>
          <w:tab w:val="clear" w:pos="8296"/>
        </w:tabs>
        <w:spacing w:after="0" w:line="640" w:lineRule="exact"/>
        <w:ind w:left="0" w:firstLine="440"/>
        <w:rPr>
          <w:rFonts w:ascii="Times New Roman" w:hAnsi="Times New Roman" w:eastAsia="方正仿宋_GBK"/>
          <w:sz w:val="32"/>
          <w:szCs w:val="32"/>
        </w:rPr>
      </w:pPr>
      <w:r>
        <w:fldChar w:fldCharType="begin"/>
      </w:r>
      <w:r>
        <w:instrText xml:space="preserve"> HYPERLINK \l "_Toc178059777" </w:instrText>
      </w:r>
      <w:r>
        <w:fldChar w:fldCharType="separate"/>
      </w:r>
      <w:r>
        <w:rPr>
          <w:rStyle w:val="20"/>
          <w:rFonts w:ascii="Times New Roman" w:hAnsi="Times New Roman" w:eastAsia="方正仿宋_GBK"/>
          <w:color w:val="auto"/>
          <w:sz w:val="32"/>
          <w:szCs w:val="32"/>
          <w:u w:val="none"/>
        </w:rPr>
        <w:t>（二）部门（单位）资金情况</w:t>
      </w:r>
      <w:r>
        <w:rPr>
          <w:rFonts w:ascii="Times New Roman" w:hAnsi="Times New Roman" w:eastAsia="方正仿宋_GBK"/>
          <w:sz w:val="32"/>
          <w:szCs w:val="32"/>
        </w:rPr>
        <w:tab/>
      </w:r>
      <w:r>
        <w:rPr>
          <w:rFonts w:ascii="Times New Roman" w:hAnsi="Times New Roman" w:eastAsia="方正仿宋_GBK"/>
          <w:sz w:val="32"/>
          <w:szCs w:val="32"/>
        </w:rPr>
        <w:t>2</w:t>
      </w:r>
      <w:r>
        <w:rPr>
          <w:rFonts w:ascii="Times New Roman" w:hAnsi="Times New Roman" w:eastAsia="方正仿宋_GBK"/>
          <w:sz w:val="32"/>
          <w:szCs w:val="32"/>
        </w:rPr>
        <w:fldChar w:fldCharType="end"/>
      </w:r>
    </w:p>
    <w:p w14:paraId="7A5CB2F6">
      <w:pPr>
        <w:pStyle w:val="14"/>
        <w:widowControl w:val="0"/>
        <w:tabs>
          <w:tab w:val="right" w:leader="dot" w:pos="8778"/>
          <w:tab w:val="clear" w:pos="8296"/>
        </w:tabs>
        <w:spacing w:after="0" w:line="640" w:lineRule="exact"/>
        <w:ind w:left="0" w:firstLine="440"/>
        <w:rPr>
          <w:rFonts w:ascii="Times New Roman" w:hAnsi="Times New Roman" w:eastAsia="方正仿宋_GBK"/>
          <w:sz w:val="32"/>
          <w:szCs w:val="32"/>
        </w:rPr>
      </w:pPr>
      <w:r>
        <w:fldChar w:fldCharType="begin"/>
      </w:r>
      <w:r>
        <w:instrText xml:space="preserve"> HYPERLINK \l "_Toc178059778" </w:instrText>
      </w:r>
      <w:r>
        <w:fldChar w:fldCharType="separate"/>
      </w:r>
      <w:r>
        <w:rPr>
          <w:rStyle w:val="20"/>
          <w:rFonts w:ascii="Times New Roman" w:hAnsi="Times New Roman" w:eastAsia="方正仿宋_GBK"/>
          <w:color w:val="auto"/>
          <w:sz w:val="32"/>
          <w:szCs w:val="32"/>
          <w:u w:val="none"/>
        </w:rPr>
        <w:t>（三）部门（单位）绩效目标</w:t>
      </w:r>
      <w:r>
        <w:rPr>
          <w:rFonts w:ascii="Times New Roman" w:hAnsi="Times New Roman" w:eastAsia="方正仿宋_GBK"/>
          <w:sz w:val="32"/>
          <w:szCs w:val="32"/>
        </w:rPr>
        <w:tab/>
      </w:r>
      <w:r>
        <w:rPr>
          <w:rFonts w:ascii="Times New Roman" w:hAnsi="Times New Roman" w:eastAsia="方正仿宋_GBK"/>
          <w:sz w:val="32"/>
          <w:szCs w:val="32"/>
        </w:rPr>
        <w:fldChar w:fldCharType="end"/>
      </w:r>
      <w:r>
        <w:rPr>
          <w:rStyle w:val="20"/>
          <w:rFonts w:ascii="Times New Roman" w:hAnsi="Times New Roman" w:eastAsia="方正仿宋_GBK"/>
          <w:color w:val="auto"/>
          <w:sz w:val="32"/>
          <w:szCs w:val="32"/>
          <w:u w:val="none"/>
        </w:rPr>
        <w:t>4</w:t>
      </w:r>
    </w:p>
    <w:p w14:paraId="408C3258">
      <w:pPr>
        <w:pStyle w:val="12"/>
        <w:tabs>
          <w:tab w:val="right" w:leader="dot" w:pos="8778"/>
        </w:tabs>
        <w:spacing w:line="640" w:lineRule="exact"/>
        <w:ind w:firstLine="640"/>
        <w:jc w:val="left"/>
        <w:rPr>
          <w:rFonts w:ascii="Times New Roman" w:hAnsi="Times New Roman" w:eastAsia="方正仿宋_GBK"/>
          <w:szCs w:val="32"/>
        </w:rPr>
      </w:pPr>
      <w:r>
        <w:fldChar w:fldCharType="begin"/>
      </w:r>
      <w:r>
        <w:instrText xml:space="preserve"> HYPERLINK \l "_Toc178059779" </w:instrText>
      </w:r>
      <w:r>
        <w:fldChar w:fldCharType="separate"/>
      </w:r>
      <w:r>
        <w:rPr>
          <w:rStyle w:val="20"/>
          <w:rFonts w:ascii="Times New Roman" w:hAnsi="Times New Roman" w:eastAsia="方正仿宋_GBK"/>
          <w:color w:val="auto"/>
          <w:szCs w:val="32"/>
          <w:u w:val="none"/>
        </w:rPr>
        <w:t>二、评价结论</w:t>
      </w:r>
      <w:r>
        <w:rPr>
          <w:rFonts w:ascii="Times New Roman" w:hAnsi="Times New Roman" w:eastAsia="方正仿宋_GBK"/>
          <w:szCs w:val="32"/>
        </w:rPr>
        <w:tab/>
      </w:r>
      <w:r>
        <w:rPr>
          <w:rFonts w:ascii="Times New Roman" w:hAnsi="Times New Roman" w:eastAsia="方正仿宋_GBK"/>
          <w:szCs w:val="32"/>
        </w:rPr>
        <w:fldChar w:fldCharType="end"/>
      </w:r>
      <w:r>
        <w:rPr>
          <w:rStyle w:val="20"/>
          <w:rFonts w:hint="eastAsia" w:ascii="Times New Roman" w:hAnsi="Times New Roman" w:eastAsia="方正仿宋_GBK"/>
          <w:color w:val="auto"/>
          <w:szCs w:val="32"/>
          <w:u w:val="none"/>
        </w:rPr>
        <w:t>7</w:t>
      </w:r>
    </w:p>
    <w:p w14:paraId="6600591C">
      <w:pPr>
        <w:pStyle w:val="14"/>
        <w:widowControl w:val="0"/>
        <w:tabs>
          <w:tab w:val="right" w:leader="dot" w:pos="8778"/>
          <w:tab w:val="clear" w:pos="8296"/>
        </w:tabs>
        <w:spacing w:after="0" w:line="640" w:lineRule="exact"/>
        <w:ind w:left="0" w:firstLine="440"/>
        <w:rPr>
          <w:rFonts w:ascii="Times New Roman" w:hAnsi="Times New Roman" w:eastAsia="方正仿宋_GBK"/>
          <w:sz w:val="32"/>
          <w:szCs w:val="32"/>
        </w:rPr>
      </w:pPr>
      <w:r>
        <w:fldChar w:fldCharType="begin"/>
      </w:r>
      <w:r>
        <w:instrText xml:space="preserve"> HYPERLINK \l "_Toc178059780" </w:instrText>
      </w:r>
      <w:r>
        <w:fldChar w:fldCharType="separate"/>
      </w:r>
      <w:r>
        <w:rPr>
          <w:rStyle w:val="20"/>
          <w:rFonts w:ascii="Times New Roman" w:hAnsi="Times New Roman" w:eastAsia="方正仿宋_GBK"/>
          <w:color w:val="auto"/>
          <w:sz w:val="32"/>
          <w:szCs w:val="32"/>
          <w:u w:val="none"/>
        </w:rPr>
        <w:t>（一）评价对象与范围</w:t>
      </w:r>
      <w:r>
        <w:rPr>
          <w:rFonts w:ascii="Times New Roman" w:hAnsi="Times New Roman" w:eastAsia="方正仿宋_GBK"/>
          <w:sz w:val="32"/>
          <w:szCs w:val="32"/>
        </w:rPr>
        <w:tab/>
      </w:r>
      <w:r>
        <w:rPr>
          <w:rFonts w:ascii="Times New Roman" w:hAnsi="Times New Roman" w:eastAsia="方正仿宋_GBK"/>
          <w:sz w:val="32"/>
          <w:szCs w:val="32"/>
        </w:rPr>
        <w:fldChar w:fldCharType="end"/>
      </w:r>
      <w:r>
        <w:rPr>
          <w:rStyle w:val="20"/>
          <w:rFonts w:hint="eastAsia" w:ascii="Times New Roman" w:hAnsi="Times New Roman" w:eastAsia="方正仿宋_GBK"/>
          <w:color w:val="auto"/>
          <w:sz w:val="32"/>
          <w:szCs w:val="32"/>
          <w:u w:val="none"/>
        </w:rPr>
        <w:t>7</w:t>
      </w:r>
    </w:p>
    <w:p w14:paraId="4F83FC18">
      <w:pPr>
        <w:pStyle w:val="14"/>
        <w:widowControl w:val="0"/>
        <w:tabs>
          <w:tab w:val="right" w:leader="dot" w:pos="8778"/>
          <w:tab w:val="clear" w:pos="8296"/>
        </w:tabs>
        <w:spacing w:after="0" w:line="640" w:lineRule="exact"/>
        <w:ind w:left="0" w:firstLine="440"/>
        <w:rPr>
          <w:rFonts w:ascii="Times New Roman" w:hAnsi="Times New Roman" w:eastAsia="方正仿宋_GBK"/>
          <w:sz w:val="32"/>
          <w:szCs w:val="32"/>
        </w:rPr>
      </w:pPr>
      <w:r>
        <w:fldChar w:fldCharType="begin"/>
      </w:r>
      <w:r>
        <w:instrText xml:space="preserve"> HYPERLINK \l "_Toc178059781" </w:instrText>
      </w:r>
      <w:r>
        <w:fldChar w:fldCharType="separate"/>
      </w:r>
      <w:r>
        <w:rPr>
          <w:rStyle w:val="20"/>
          <w:rFonts w:ascii="Times New Roman" w:hAnsi="Times New Roman" w:eastAsia="方正仿宋_GBK"/>
          <w:color w:val="auto"/>
          <w:sz w:val="32"/>
          <w:szCs w:val="32"/>
          <w:u w:val="none"/>
        </w:rPr>
        <w:t>（二）绩效评价结论</w:t>
      </w:r>
      <w:r>
        <w:rPr>
          <w:rFonts w:ascii="Times New Roman" w:hAnsi="Times New Roman" w:eastAsia="方正仿宋_GBK"/>
          <w:sz w:val="32"/>
          <w:szCs w:val="32"/>
        </w:rPr>
        <w:tab/>
      </w:r>
      <w:r>
        <w:rPr>
          <w:rFonts w:hint="eastAsia" w:ascii="Times New Roman" w:hAnsi="Times New Roman" w:eastAsia="方正仿宋_GBK"/>
          <w:sz w:val="32"/>
          <w:szCs w:val="32"/>
        </w:rPr>
        <w:t>7</w:t>
      </w:r>
      <w:r>
        <w:rPr>
          <w:rFonts w:hint="eastAsia" w:ascii="Times New Roman" w:hAnsi="Times New Roman" w:eastAsia="方正仿宋_GBK"/>
          <w:sz w:val="32"/>
          <w:szCs w:val="32"/>
        </w:rPr>
        <w:fldChar w:fldCharType="end"/>
      </w:r>
    </w:p>
    <w:p w14:paraId="170B271D">
      <w:pPr>
        <w:pStyle w:val="12"/>
        <w:tabs>
          <w:tab w:val="right" w:leader="dot" w:pos="8778"/>
        </w:tabs>
        <w:spacing w:line="640" w:lineRule="exact"/>
        <w:ind w:firstLine="640"/>
        <w:jc w:val="left"/>
        <w:rPr>
          <w:rFonts w:ascii="Times New Roman" w:hAnsi="Times New Roman" w:eastAsia="方正仿宋_GBK"/>
          <w:szCs w:val="32"/>
        </w:rPr>
      </w:pPr>
      <w:r>
        <w:fldChar w:fldCharType="begin"/>
      </w:r>
      <w:r>
        <w:instrText xml:space="preserve"> HYPERLINK \l "_Toc178059782" </w:instrText>
      </w:r>
      <w:r>
        <w:fldChar w:fldCharType="separate"/>
      </w:r>
      <w:r>
        <w:rPr>
          <w:rStyle w:val="20"/>
          <w:rFonts w:ascii="Times New Roman" w:hAnsi="Times New Roman" w:eastAsia="方正仿宋_GBK"/>
          <w:color w:val="auto"/>
          <w:szCs w:val="32"/>
          <w:u w:val="none"/>
        </w:rPr>
        <w:t>三、部门履职成效</w:t>
      </w:r>
      <w:r>
        <w:rPr>
          <w:rFonts w:ascii="Times New Roman" w:hAnsi="Times New Roman" w:eastAsia="方正仿宋_GBK"/>
          <w:szCs w:val="32"/>
        </w:rPr>
        <w:tab/>
      </w:r>
      <w:r>
        <w:rPr>
          <w:rFonts w:ascii="Times New Roman" w:hAnsi="Times New Roman" w:eastAsia="方正仿宋_GBK"/>
          <w:szCs w:val="32"/>
        </w:rPr>
        <w:fldChar w:fldCharType="end"/>
      </w:r>
      <w:r>
        <w:rPr>
          <w:rStyle w:val="20"/>
          <w:rFonts w:hint="eastAsia" w:ascii="Times New Roman" w:hAnsi="Times New Roman" w:eastAsia="方正仿宋_GBK"/>
          <w:color w:val="auto"/>
          <w:szCs w:val="32"/>
          <w:u w:val="none"/>
        </w:rPr>
        <w:t>8</w:t>
      </w:r>
    </w:p>
    <w:p w14:paraId="646D3842">
      <w:pPr>
        <w:pStyle w:val="12"/>
        <w:tabs>
          <w:tab w:val="right" w:leader="dot" w:pos="8778"/>
        </w:tabs>
        <w:spacing w:line="640" w:lineRule="exact"/>
        <w:ind w:firstLine="640"/>
        <w:jc w:val="left"/>
        <w:rPr>
          <w:rFonts w:ascii="Times New Roman" w:hAnsi="Times New Roman" w:eastAsia="方正仿宋_GBK"/>
          <w:szCs w:val="32"/>
        </w:rPr>
      </w:pPr>
      <w:r>
        <w:fldChar w:fldCharType="begin"/>
      </w:r>
      <w:r>
        <w:instrText xml:space="preserve"> HYPERLINK \l "_Toc178059783" </w:instrText>
      </w:r>
      <w:r>
        <w:fldChar w:fldCharType="separate"/>
      </w:r>
      <w:r>
        <w:rPr>
          <w:rStyle w:val="20"/>
          <w:rFonts w:ascii="Times New Roman" w:hAnsi="Times New Roman" w:eastAsia="方正仿宋_GBK"/>
          <w:color w:val="auto"/>
          <w:szCs w:val="32"/>
          <w:u w:val="none"/>
        </w:rPr>
        <w:t>四、存在问题及原因分析</w:t>
      </w:r>
      <w:r>
        <w:rPr>
          <w:rFonts w:ascii="Times New Roman" w:hAnsi="Times New Roman" w:eastAsia="方正仿宋_GBK"/>
          <w:szCs w:val="32"/>
        </w:rPr>
        <w:tab/>
      </w:r>
      <w:r>
        <w:rPr>
          <w:rFonts w:ascii="Times New Roman" w:hAnsi="Times New Roman" w:eastAsia="方正仿宋_GBK"/>
          <w:szCs w:val="32"/>
        </w:rPr>
        <w:t>1</w:t>
      </w:r>
      <w:r>
        <w:rPr>
          <w:rFonts w:ascii="Times New Roman" w:hAnsi="Times New Roman" w:eastAsia="方正仿宋_GBK"/>
          <w:szCs w:val="32"/>
        </w:rPr>
        <w:fldChar w:fldCharType="end"/>
      </w:r>
      <w:r>
        <w:rPr>
          <w:rStyle w:val="20"/>
          <w:rFonts w:hint="eastAsia" w:ascii="Times New Roman" w:hAnsi="Times New Roman" w:eastAsia="方正仿宋_GBK"/>
          <w:color w:val="auto"/>
          <w:szCs w:val="32"/>
          <w:u w:val="none"/>
        </w:rPr>
        <w:t>3</w:t>
      </w:r>
    </w:p>
    <w:p w14:paraId="51134B5C">
      <w:pPr>
        <w:pStyle w:val="12"/>
        <w:tabs>
          <w:tab w:val="right" w:leader="dot" w:pos="8778"/>
        </w:tabs>
        <w:spacing w:line="640" w:lineRule="exact"/>
        <w:ind w:firstLine="640"/>
        <w:jc w:val="left"/>
        <w:rPr>
          <w:rFonts w:ascii="Times New Roman" w:hAnsi="Times New Roman" w:eastAsia="方正仿宋_GBK"/>
          <w:szCs w:val="32"/>
        </w:rPr>
      </w:pPr>
      <w:r>
        <w:fldChar w:fldCharType="begin"/>
      </w:r>
      <w:r>
        <w:instrText xml:space="preserve"> HYPERLINK \l "_Toc178059784" </w:instrText>
      </w:r>
      <w:r>
        <w:fldChar w:fldCharType="separate"/>
      </w:r>
      <w:r>
        <w:rPr>
          <w:rStyle w:val="20"/>
          <w:rFonts w:ascii="Times New Roman" w:hAnsi="Times New Roman" w:eastAsia="方正仿宋_GBK"/>
          <w:color w:val="auto"/>
          <w:szCs w:val="32"/>
          <w:u w:val="none"/>
        </w:rPr>
        <w:t>五、有关建议</w:t>
      </w:r>
      <w:r>
        <w:rPr>
          <w:rFonts w:ascii="Times New Roman" w:hAnsi="Times New Roman" w:eastAsia="方正仿宋_GBK"/>
          <w:szCs w:val="32"/>
        </w:rPr>
        <w:tab/>
      </w:r>
      <w:r>
        <w:rPr>
          <w:rFonts w:ascii="Times New Roman" w:hAnsi="Times New Roman" w:eastAsia="方正仿宋_GBK"/>
          <w:szCs w:val="32"/>
        </w:rPr>
        <w:t>1</w:t>
      </w:r>
      <w:r>
        <w:rPr>
          <w:rFonts w:ascii="Times New Roman" w:hAnsi="Times New Roman" w:eastAsia="方正仿宋_GBK"/>
          <w:szCs w:val="32"/>
        </w:rPr>
        <w:fldChar w:fldCharType="end"/>
      </w:r>
      <w:r>
        <w:rPr>
          <w:rStyle w:val="20"/>
          <w:rFonts w:hint="eastAsia" w:ascii="Times New Roman" w:hAnsi="Times New Roman" w:eastAsia="方正仿宋_GBK"/>
          <w:color w:val="auto"/>
          <w:szCs w:val="32"/>
          <w:u w:val="none"/>
        </w:rPr>
        <w:t>3</w:t>
      </w:r>
    </w:p>
    <w:p w14:paraId="3C230494">
      <w:pPr>
        <w:pStyle w:val="12"/>
        <w:tabs>
          <w:tab w:val="right" w:leader="dot" w:pos="8778"/>
        </w:tabs>
        <w:spacing w:line="640" w:lineRule="exact"/>
        <w:ind w:firstLine="640"/>
        <w:jc w:val="left"/>
        <w:rPr>
          <w:rFonts w:ascii="Times New Roman" w:hAnsi="Times New Roman" w:eastAsia="方正仿宋_GBK"/>
          <w:szCs w:val="32"/>
        </w:rPr>
      </w:pPr>
      <w:r>
        <w:fldChar w:fldCharType="begin"/>
      </w:r>
      <w:r>
        <w:instrText xml:space="preserve"> HYPERLINK \l "_Toc178059785" </w:instrText>
      </w:r>
      <w:r>
        <w:fldChar w:fldCharType="separate"/>
      </w:r>
      <w:r>
        <w:rPr>
          <w:rStyle w:val="20"/>
          <w:rFonts w:ascii="Times New Roman" w:hAnsi="Times New Roman" w:eastAsia="方正仿宋_GBK"/>
          <w:color w:val="auto"/>
          <w:szCs w:val="32"/>
          <w:u w:val="none"/>
        </w:rPr>
        <w:t>六、评价工作开展情况及其他需说明的情况</w:t>
      </w:r>
      <w:r>
        <w:rPr>
          <w:rFonts w:ascii="Times New Roman" w:hAnsi="Times New Roman" w:eastAsia="方正仿宋_GBK"/>
          <w:szCs w:val="32"/>
        </w:rPr>
        <w:tab/>
      </w:r>
      <w:r>
        <w:rPr>
          <w:rFonts w:ascii="Times New Roman" w:hAnsi="Times New Roman" w:eastAsia="方正仿宋_GBK"/>
          <w:szCs w:val="32"/>
        </w:rPr>
        <w:fldChar w:fldCharType="begin"/>
      </w:r>
      <w:r>
        <w:rPr>
          <w:rFonts w:ascii="Times New Roman" w:hAnsi="Times New Roman" w:eastAsia="方正仿宋_GBK"/>
          <w:szCs w:val="32"/>
        </w:rPr>
        <w:instrText xml:space="preserve"> PAGEREF _Toc178059785 \h </w:instrText>
      </w:r>
      <w:r>
        <w:rPr>
          <w:rFonts w:ascii="Times New Roman" w:hAnsi="Times New Roman" w:eastAsia="方正仿宋_GBK"/>
          <w:szCs w:val="32"/>
        </w:rPr>
        <w:fldChar w:fldCharType="separate"/>
      </w:r>
      <w:r>
        <w:rPr>
          <w:rFonts w:ascii="Times New Roman" w:hAnsi="Times New Roman" w:eastAsia="方正仿宋_GBK"/>
          <w:szCs w:val="32"/>
        </w:rPr>
        <w:t>1</w:t>
      </w:r>
      <w:r>
        <w:rPr>
          <w:rFonts w:hint="eastAsia" w:ascii="Times New Roman" w:hAnsi="Times New Roman" w:eastAsia="方正仿宋_GBK"/>
          <w:szCs w:val="32"/>
        </w:rPr>
        <w:t>4</w:t>
      </w:r>
      <w:r>
        <w:rPr>
          <w:rFonts w:ascii="Times New Roman" w:hAnsi="Times New Roman" w:eastAsia="方正仿宋_GBK"/>
          <w:szCs w:val="32"/>
        </w:rPr>
        <w:fldChar w:fldCharType="end"/>
      </w:r>
      <w:r>
        <w:rPr>
          <w:rFonts w:ascii="Times New Roman" w:hAnsi="Times New Roman" w:eastAsia="方正仿宋_GBK"/>
          <w:szCs w:val="32"/>
        </w:rPr>
        <w:fldChar w:fldCharType="end"/>
      </w:r>
    </w:p>
    <w:p w14:paraId="669A0EB0">
      <w:pPr>
        <w:pStyle w:val="14"/>
        <w:widowControl w:val="0"/>
        <w:tabs>
          <w:tab w:val="right" w:leader="dot" w:pos="8778"/>
          <w:tab w:val="clear" w:pos="8296"/>
        </w:tabs>
        <w:spacing w:after="0" w:line="640" w:lineRule="exact"/>
        <w:ind w:left="0" w:firstLine="440"/>
        <w:rPr>
          <w:rFonts w:ascii="Times New Roman" w:hAnsi="Times New Roman" w:eastAsia="方正仿宋_GBK"/>
          <w:sz w:val="32"/>
          <w:szCs w:val="32"/>
        </w:rPr>
      </w:pPr>
      <w:r>
        <w:fldChar w:fldCharType="begin"/>
      </w:r>
      <w:r>
        <w:instrText xml:space="preserve"> HYPERLINK \l "_Toc178059786" </w:instrText>
      </w:r>
      <w:r>
        <w:fldChar w:fldCharType="separate"/>
      </w:r>
      <w:r>
        <w:rPr>
          <w:rStyle w:val="20"/>
          <w:rFonts w:ascii="Times New Roman" w:hAnsi="Times New Roman" w:eastAsia="方正仿宋_GBK"/>
          <w:color w:val="auto"/>
          <w:sz w:val="32"/>
          <w:szCs w:val="32"/>
          <w:u w:val="none"/>
        </w:rPr>
        <w:t>（一）评价</w:t>
      </w:r>
      <w:r>
        <w:rPr>
          <w:rStyle w:val="20"/>
          <w:rFonts w:hint="eastAsia" w:ascii="Times New Roman" w:hAnsi="Times New Roman" w:eastAsia="方正仿宋_GBK"/>
          <w:color w:val="auto"/>
          <w:sz w:val="32"/>
          <w:szCs w:val="32"/>
          <w:u w:val="none"/>
        </w:rPr>
        <w:t>思路</w:t>
      </w:r>
      <w:r>
        <w:rPr>
          <w:rFonts w:ascii="Times New Roman" w:hAnsi="Times New Roman" w:eastAsia="方正仿宋_GBK"/>
          <w:sz w:val="32"/>
          <w:szCs w:val="32"/>
        </w:rPr>
        <w:tab/>
      </w:r>
      <w:r>
        <w:rPr>
          <w:rFonts w:ascii="Times New Roman" w:hAnsi="Times New Roman" w:eastAsia="方正仿宋_GBK"/>
          <w:sz w:val="32"/>
          <w:szCs w:val="32"/>
        </w:rPr>
        <w:fldChar w:fldCharType="begin"/>
      </w:r>
      <w:r>
        <w:rPr>
          <w:rFonts w:ascii="Times New Roman" w:hAnsi="Times New Roman" w:eastAsia="方正仿宋_GBK"/>
          <w:sz w:val="32"/>
          <w:szCs w:val="32"/>
        </w:rPr>
        <w:instrText xml:space="preserve"> PAGEREF _Toc178059786 \h </w:instrText>
      </w:r>
      <w:r>
        <w:rPr>
          <w:rFonts w:ascii="Times New Roman" w:hAnsi="Times New Roman" w:eastAsia="方正仿宋_GBK"/>
          <w:sz w:val="32"/>
          <w:szCs w:val="32"/>
        </w:rPr>
        <w:fldChar w:fldCharType="separate"/>
      </w:r>
      <w:r>
        <w:rPr>
          <w:rFonts w:ascii="Times New Roman" w:hAnsi="Times New Roman" w:eastAsia="方正仿宋_GBK"/>
          <w:sz w:val="32"/>
          <w:szCs w:val="32"/>
        </w:rPr>
        <w:t>1</w:t>
      </w:r>
      <w:r>
        <w:rPr>
          <w:rFonts w:hint="eastAsia" w:ascii="Times New Roman" w:hAnsi="Times New Roman" w:eastAsia="方正仿宋_GBK"/>
          <w:sz w:val="32"/>
          <w:szCs w:val="32"/>
        </w:rPr>
        <w:t>4</w:t>
      </w:r>
      <w:r>
        <w:rPr>
          <w:rFonts w:ascii="Times New Roman" w:hAnsi="Times New Roman" w:eastAsia="方正仿宋_GBK"/>
          <w:sz w:val="32"/>
          <w:szCs w:val="32"/>
        </w:rPr>
        <w:fldChar w:fldCharType="end"/>
      </w:r>
      <w:r>
        <w:rPr>
          <w:rFonts w:ascii="Times New Roman" w:hAnsi="Times New Roman" w:eastAsia="方正仿宋_GBK"/>
          <w:sz w:val="32"/>
          <w:szCs w:val="32"/>
        </w:rPr>
        <w:fldChar w:fldCharType="end"/>
      </w:r>
    </w:p>
    <w:p w14:paraId="1440D0A7">
      <w:pPr>
        <w:pStyle w:val="12"/>
        <w:tabs>
          <w:tab w:val="right" w:leader="dot" w:pos="8778"/>
        </w:tabs>
        <w:spacing w:line="640" w:lineRule="exact"/>
        <w:ind w:firstLine="640"/>
        <w:jc w:val="left"/>
        <w:rPr>
          <w:rFonts w:ascii="Times New Roman" w:hAnsi="Times New Roman" w:eastAsia="方正仿宋_GBK"/>
          <w:szCs w:val="32"/>
        </w:rPr>
      </w:pPr>
      <w:r>
        <w:rPr>
          <w:rStyle w:val="20"/>
          <w:rFonts w:hint="eastAsia" w:ascii="Times New Roman" w:hAnsi="Times New Roman" w:eastAsia="方正仿宋_GBK"/>
          <w:color w:val="auto"/>
          <w:szCs w:val="32"/>
          <w:u w:val="none"/>
        </w:rPr>
        <w:t>（二）评价方法</w:t>
      </w:r>
      <w:r>
        <w:rPr>
          <w:rFonts w:ascii="Times New Roman" w:hAnsi="Times New Roman" w:eastAsia="方正仿宋_GBK"/>
          <w:szCs w:val="32"/>
        </w:rPr>
        <w:tab/>
      </w:r>
      <w:r>
        <w:rPr>
          <w:rFonts w:ascii="Times New Roman" w:hAnsi="Times New Roman" w:eastAsia="方正仿宋_GBK"/>
          <w:szCs w:val="32"/>
        </w:rPr>
        <w:fldChar w:fldCharType="begin"/>
      </w:r>
      <w:r>
        <w:rPr>
          <w:rFonts w:ascii="Times New Roman" w:hAnsi="Times New Roman" w:eastAsia="方正仿宋_GBK"/>
          <w:szCs w:val="32"/>
        </w:rPr>
        <w:instrText xml:space="preserve"> PAGEREF _Toc178059786 \h </w:instrText>
      </w:r>
      <w:r>
        <w:rPr>
          <w:rFonts w:ascii="Times New Roman" w:hAnsi="Times New Roman" w:eastAsia="方正仿宋_GBK"/>
          <w:szCs w:val="32"/>
        </w:rPr>
        <w:fldChar w:fldCharType="separate"/>
      </w:r>
      <w:r>
        <w:rPr>
          <w:rFonts w:ascii="Times New Roman" w:hAnsi="Times New Roman" w:eastAsia="方正仿宋_GBK"/>
          <w:szCs w:val="32"/>
        </w:rPr>
        <w:t>1</w:t>
      </w:r>
      <w:r>
        <w:rPr>
          <w:rFonts w:hint="eastAsia" w:ascii="Times New Roman" w:hAnsi="Times New Roman" w:eastAsia="方正仿宋_GBK"/>
          <w:szCs w:val="32"/>
        </w:rPr>
        <w:t>4</w:t>
      </w:r>
      <w:r>
        <w:rPr>
          <w:rFonts w:ascii="Times New Roman" w:hAnsi="Times New Roman" w:eastAsia="方正仿宋_GBK"/>
          <w:szCs w:val="32"/>
        </w:rPr>
        <w:fldChar w:fldCharType="end"/>
      </w:r>
    </w:p>
    <w:p w14:paraId="431365E4">
      <w:pPr>
        <w:pStyle w:val="12"/>
        <w:tabs>
          <w:tab w:val="right" w:leader="dot" w:pos="8778"/>
        </w:tabs>
        <w:spacing w:line="640" w:lineRule="exact"/>
        <w:ind w:firstLine="640"/>
        <w:jc w:val="left"/>
        <w:rPr>
          <w:rFonts w:ascii="Times New Roman" w:hAnsi="Times New Roman" w:eastAsia="方正仿宋_GBK"/>
          <w:szCs w:val="32"/>
        </w:rPr>
      </w:pPr>
      <w:r>
        <w:rPr>
          <w:rStyle w:val="20"/>
          <w:rFonts w:hint="eastAsia" w:ascii="Times New Roman" w:hAnsi="Times New Roman" w:eastAsia="方正仿宋_GBK"/>
          <w:color w:val="auto"/>
          <w:szCs w:val="32"/>
          <w:u w:val="none"/>
        </w:rPr>
        <w:t>（三）指标体系</w:t>
      </w:r>
      <w:r>
        <w:rPr>
          <w:rFonts w:ascii="Times New Roman" w:hAnsi="Times New Roman" w:eastAsia="方正仿宋_GBK"/>
          <w:szCs w:val="32"/>
        </w:rPr>
        <w:tab/>
      </w:r>
      <w:r>
        <w:rPr>
          <w:rFonts w:ascii="Times New Roman" w:hAnsi="Times New Roman" w:eastAsia="方正仿宋_GBK"/>
          <w:szCs w:val="32"/>
        </w:rPr>
        <w:fldChar w:fldCharType="begin"/>
      </w:r>
      <w:r>
        <w:rPr>
          <w:rFonts w:ascii="Times New Roman" w:hAnsi="Times New Roman" w:eastAsia="方正仿宋_GBK"/>
          <w:szCs w:val="32"/>
        </w:rPr>
        <w:instrText xml:space="preserve"> PAGEREF _Toc178059786 \h </w:instrText>
      </w:r>
      <w:r>
        <w:rPr>
          <w:rFonts w:ascii="Times New Roman" w:hAnsi="Times New Roman" w:eastAsia="方正仿宋_GBK"/>
          <w:szCs w:val="32"/>
        </w:rPr>
        <w:fldChar w:fldCharType="separate"/>
      </w:r>
      <w:r>
        <w:rPr>
          <w:rFonts w:ascii="Times New Roman" w:hAnsi="Times New Roman" w:eastAsia="方正仿宋_GBK"/>
          <w:szCs w:val="32"/>
        </w:rPr>
        <w:t>1</w:t>
      </w:r>
      <w:r>
        <w:rPr>
          <w:rFonts w:hint="eastAsia" w:ascii="Times New Roman" w:hAnsi="Times New Roman" w:eastAsia="方正仿宋_GBK"/>
          <w:szCs w:val="32"/>
        </w:rPr>
        <w:t>4</w:t>
      </w:r>
      <w:r>
        <w:rPr>
          <w:rFonts w:ascii="Times New Roman" w:hAnsi="Times New Roman" w:eastAsia="方正仿宋_GBK"/>
          <w:szCs w:val="32"/>
        </w:rPr>
        <w:fldChar w:fldCharType="end"/>
      </w:r>
    </w:p>
    <w:p w14:paraId="432FA004">
      <w:pPr>
        <w:pStyle w:val="12"/>
        <w:tabs>
          <w:tab w:val="right" w:leader="dot" w:pos="8778"/>
        </w:tabs>
        <w:spacing w:line="640" w:lineRule="exact"/>
        <w:ind w:firstLine="640"/>
        <w:jc w:val="left"/>
        <w:rPr>
          <w:rFonts w:ascii="Times New Roman" w:hAnsi="Times New Roman" w:eastAsia="方正仿宋_GBK"/>
          <w:szCs w:val="32"/>
        </w:rPr>
      </w:pPr>
      <w:r>
        <w:rPr>
          <w:rFonts w:hint="eastAsia"/>
        </w:rPr>
        <w:t>（四）其他需要说明的问题</w:t>
      </w:r>
      <w:r>
        <w:rPr>
          <w:rFonts w:ascii="Times New Roman" w:hAnsi="Times New Roman" w:eastAsia="方正仿宋_GBK"/>
          <w:szCs w:val="32"/>
        </w:rPr>
        <w:tab/>
      </w:r>
      <w:r>
        <w:rPr>
          <w:rFonts w:ascii="Times New Roman" w:hAnsi="Times New Roman" w:eastAsia="方正仿宋_GBK"/>
          <w:szCs w:val="32"/>
        </w:rPr>
        <w:fldChar w:fldCharType="begin"/>
      </w:r>
      <w:r>
        <w:rPr>
          <w:rFonts w:ascii="Times New Roman" w:hAnsi="Times New Roman" w:eastAsia="方正仿宋_GBK"/>
          <w:szCs w:val="32"/>
        </w:rPr>
        <w:instrText xml:space="preserve"> PAGEREF _Toc178059786 \h </w:instrText>
      </w:r>
      <w:r>
        <w:rPr>
          <w:rFonts w:ascii="Times New Roman" w:hAnsi="Times New Roman" w:eastAsia="方正仿宋_GBK"/>
          <w:szCs w:val="32"/>
        </w:rPr>
        <w:fldChar w:fldCharType="separate"/>
      </w:r>
      <w:r>
        <w:rPr>
          <w:rFonts w:ascii="Times New Roman" w:hAnsi="Times New Roman" w:eastAsia="方正仿宋_GBK"/>
          <w:szCs w:val="32"/>
        </w:rPr>
        <w:t>1</w:t>
      </w:r>
      <w:r>
        <w:rPr>
          <w:rFonts w:ascii="Times New Roman" w:hAnsi="Times New Roman" w:eastAsia="方正仿宋_GBK"/>
          <w:szCs w:val="32"/>
        </w:rPr>
        <w:fldChar w:fldCharType="end"/>
      </w:r>
      <w:r>
        <w:rPr>
          <w:rFonts w:hint="eastAsia" w:ascii="Times New Roman" w:hAnsi="Times New Roman" w:eastAsia="方正仿宋_GBK"/>
          <w:szCs w:val="32"/>
        </w:rPr>
        <w:t>5</w:t>
      </w:r>
    </w:p>
    <w:p w14:paraId="6BEC7766">
      <w:pPr>
        <w:pStyle w:val="12"/>
        <w:tabs>
          <w:tab w:val="right" w:leader="dot" w:pos="8778"/>
        </w:tabs>
        <w:spacing w:line="640" w:lineRule="exact"/>
        <w:ind w:firstLine="640"/>
        <w:jc w:val="left"/>
        <w:rPr>
          <w:rFonts w:ascii="Times New Roman" w:hAnsi="Times New Roman" w:eastAsia="方正仿宋_GBK"/>
          <w:szCs w:val="32"/>
        </w:rPr>
      </w:pPr>
      <w:r>
        <w:fldChar w:fldCharType="begin"/>
      </w:r>
      <w:r>
        <w:instrText xml:space="preserve"> HYPERLINK \l "_Toc178059787" </w:instrText>
      </w:r>
      <w:r>
        <w:fldChar w:fldCharType="separate"/>
      </w:r>
      <w:r>
        <w:rPr>
          <w:rStyle w:val="20"/>
          <w:rFonts w:ascii="Times New Roman" w:hAnsi="Times New Roman" w:eastAsia="方正仿宋_GBK"/>
          <w:color w:val="auto"/>
          <w:szCs w:val="32"/>
          <w:u w:val="none"/>
        </w:rPr>
        <w:t>附件：</w:t>
      </w:r>
      <w:r>
        <w:rPr>
          <w:rFonts w:ascii="Times New Roman" w:hAnsi="Times New Roman" w:eastAsia="方正仿宋_GBK"/>
          <w:szCs w:val="32"/>
        </w:rPr>
        <w:tab/>
      </w:r>
      <w:r>
        <w:rPr>
          <w:rFonts w:ascii="Times New Roman" w:hAnsi="Times New Roman" w:eastAsia="方正仿宋_GBK"/>
          <w:szCs w:val="32"/>
        </w:rPr>
        <w:fldChar w:fldCharType="end"/>
      </w:r>
    </w:p>
    <w:p w14:paraId="66B49674">
      <w:pPr>
        <w:pStyle w:val="12"/>
        <w:tabs>
          <w:tab w:val="left" w:pos="420"/>
          <w:tab w:val="right" w:leader="dot" w:pos="8778"/>
        </w:tabs>
        <w:spacing w:line="640" w:lineRule="exact"/>
        <w:ind w:firstLine="640"/>
        <w:jc w:val="left"/>
        <w:rPr>
          <w:rFonts w:ascii="Times New Roman" w:hAnsi="Times New Roman" w:eastAsia="方正仿宋_GBK"/>
          <w:szCs w:val="32"/>
        </w:rPr>
      </w:pPr>
      <w:r>
        <w:fldChar w:fldCharType="begin"/>
      </w:r>
      <w:r>
        <w:instrText xml:space="preserve"> HYPERLINK \l "_Toc178059788" </w:instrText>
      </w:r>
      <w:r>
        <w:fldChar w:fldCharType="separate"/>
      </w:r>
      <w:r>
        <w:rPr>
          <w:rStyle w:val="20"/>
          <w:rFonts w:ascii="Times New Roman" w:hAnsi="Times New Roman" w:eastAsia="方正仿宋_GBK"/>
          <w:color w:val="auto"/>
          <w:szCs w:val="32"/>
          <w:u w:val="none"/>
        </w:rPr>
        <w:t>1.指标体系得分情况</w:t>
      </w:r>
      <w:r>
        <w:rPr>
          <w:rFonts w:ascii="Times New Roman" w:hAnsi="Times New Roman" w:eastAsia="方正仿宋_GBK"/>
          <w:szCs w:val="32"/>
        </w:rPr>
        <w:tab/>
      </w:r>
      <w:r>
        <w:rPr>
          <w:rFonts w:ascii="Times New Roman" w:hAnsi="Times New Roman" w:eastAsia="方正仿宋_GBK"/>
          <w:szCs w:val="32"/>
        </w:rPr>
        <w:t>1</w:t>
      </w:r>
      <w:r>
        <w:rPr>
          <w:rFonts w:ascii="Times New Roman" w:hAnsi="Times New Roman" w:eastAsia="方正仿宋_GBK"/>
          <w:szCs w:val="32"/>
        </w:rPr>
        <w:fldChar w:fldCharType="end"/>
      </w:r>
      <w:r>
        <w:rPr>
          <w:rStyle w:val="20"/>
          <w:rFonts w:hint="eastAsia" w:ascii="Times New Roman" w:hAnsi="Times New Roman" w:eastAsia="方正仿宋_GBK"/>
          <w:color w:val="auto"/>
          <w:szCs w:val="32"/>
          <w:u w:val="none"/>
        </w:rPr>
        <w:t>6</w:t>
      </w:r>
    </w:p>
    <w:p w14:paraId="0FA5D8F9">
      <w:pPr>
        <w:spacing w:line="640" w:lineRule="exact"/>
        <w:ind w:firstLine="640"/>
        <w:jc w:val="left"/>
        <w:rPr>
          <w:rFonts w:ascii="Times New Roman" w:hAnsi="Times New Roman" w:eastAsia="方正仿宋_GBK"/>
          <w:szCs w:val="32"/>
        </w:rPr>
      </w:pPr>
      <w:r>
        <w:rPr>
          <w:rFonts w:ascii="Times New Roman" w:hAnsi="Times New Roman" w:eastAsia="方正仿宋_GBK"/>
          <w:szCs w:val="32"/>
          <w:lang w:val="zh-CN"/>
        </w:rPr>
        <w:fldChar w:fldCharType="end"/>
      </w:r>
    </w:p>
    <w:p w14:paraId="1E7A11B5">
      <w:pPr>
        <w:spacing w:line="600" w:lineRule="exact"/>
        <w:ind w:firstLine="640"/>
        <w:rPr>
          <w:rFonts w:ascii="Times New Roman" w:hAnsi="Times New Roman" w:eastAsia="方正黑体_GBK"/>
        </w:rPr>
        <w:sectPr>
          <w:footerReference r:id="rId11" w:type="default"/>
          <w:pgSz w:w="11906" w:h="16838"/>
          <w:pgMar w:top="1701" w:right="1474" w:bottom="1474" w:left="1474" w:header="737" w:footer="1474" w:gutter="0"/>
          <w:pgNumType w:start="1"/>
          <w:cols w:space="720" w:num="1"/>
          <w:docGrid w:type="lines" w:linePitch="441" w:charSpace="0"/>
        </w:sectPr>
      </w:pPr>
    </w:p>
    <w:p w14:paraId="4DC1D268">
      <w:pPr>
        <w:spacing w:line="600" w:lineRule="exact"/>
        <w:ind w:firstLine="656"/>
        <w:rPr>
          <w:rFonts w:ascii="Times New Roman" w:hAnsi="Times New Roman" w:eastAsia="方正黑体_GBK"/>
        </w:rPr>
      </w:pPr>
      <w:r>
        <w:rPr>
          <w:rFonts w:ascii="Times New Roman" w:hAnsi="Times New Roman" w:eastAsia="方正黑体_GBK"/>
        </w:rPr>
        <w:t>一、</w:t>
      </w:r>
      <w:bookmarkEnd w:id="3"/>
      <w:bookmarkEnd w:id="4"/>
      <w:r>
        <w:rPr>
          <w:rFonts w:ascii="Times New Roman" w:hAnsi="Times New Roman" w:eastAsia="方正黑体_GBK"/>
        </w:rPr>
        <w:t>部门（单位）概况</w:t>
      </w:r>
    </w:p>
    <w:p w14:paraId="74136CC2">
      <w:pPr>
        <w:spacing w:line="600" w:lineRule="exact"/>
        <w:ind w:firstLine="656"/>
        <w:rPr>
          <w:rFonts w:ascii="Times New Roman" w:hAnsi="Times New Roman" w:eastAsia="方正楷体_GBK"/>
        </w:rPr>
      </w:pPr>
      <w:bookmarkStart w:id="5" w:name="_Toc46246269"/>
      <w:bookmarkStart w:id="6" w:name="_Toc18255"/>
      <w:r>
        <w:rPr>
          <w:rFonts w:ascii="Times New Roman" w:hAnsi="Times New Roman" w:eastAsia="方正楷体_GBK"/>
        </w:rPr>
        <w:t>（一）部门（单位）</w:t>
      </w:r>
      <w:bookmarkEnd w:id="5"/>
      <w:bookmarkEnd w:id="6"/>
      <w:r>
        <w:rPr>
          <w:rFonts w:ascii="Times New Roman" w:hAnsi="Times New Roman" w:eastAsia="方正楷体_GBK"/>
        </w:rPr>
        <w:t>基本情况</w:t>
      </w:r>
    </w:p>
    <w:p w14:paraId="09978D2D">
      <w:pPr>
        <w:spacing w:line="600" w:lineRule="exact"/>
        <w:ind w:firstLine="659"/>
        <w:rPr>
          <w:rFonts w:ascii="Times New Roman" w:hAnsi="Times New Roman" w:eastAsia="方正仿宋_GBK"/>
          <w:b/>
          <w:bCs/>
        </w:rPr>
      </w:pPr>
      <w:r>
        <w:rPr>
          <w:rFonts w:ascii="Times New Roman" w:hAnsi="Times New Roman" w:eastAsia="方正仿宋_GBK"/>
          <w:b/>
          <w:bCs/>
        </w:rPr>
        <w:t>1. 部门（单位）职能</w:t>
      </w:r>
    </w:p>
    <w:p w14:paraId="5F389925">
      <w:pPr>
        <w:pStyle w:val="6"/>
        <w:spacing w:line="600" w:lineRule="exact"/>
        <w:ind w:right="102" w:firstLine="656"/>
        <w:rPr>
          <w:rFonts w:ascii="Times New Roman" w:hAnsi="Times New Roman" w:eastAsia="方正仿宋_GBK"/>
        </w:rPr>
      </w:pPr>
      <w:r>
        <w:rPr>
          <w:rFonts w:ascii="Times New Roman" w:hAnsi="Times New Roman" w:eastAsia="方正仿宋_GBK"/>
        </w:rPr>
        <w:t>南京市妇女联合会是在中共南京市委和省妇联领导下的全市各界妇女的群众团体，是党和政府联系妇女群众的桥梁和纽带，是国家政权的重要社会支柱，是引领、服务、联系广大妇女，维护妇女儿童合法权益，促进男女平等的重要力量，成立于1951年5月，原名为南京市民主妇女联合会，1956年更名为南京市妇女联合会（以下简称“市妇联”），为正局级单位。为贯彻习近平总书记关于注重家庭、注重家教、注重家风的重要指示精神，在原先思想引领、妇女维权、妇女发展、组织建设、妇儿帮扶等职能的基础之上，基于群团改革的需要，2019年3月修订了“三定”方案，突出了家庭教育和家庭文明建设两项职能。</w:t>
      </w:r>
    </w:p>
    <w:p w14:paraId="0DEE06C3">
      <w:pPr>
        <w:pStyle w:val="6"/>
        <w:spacing w:line="600" w:lineRule="exact"/>
        <w:ind w:right="102" w:firstLine="656"/>
        <w:rPr>
          <w:rFonts w:ascii="Times New Roman" w:hAnsi="Times New Roman" w:eastAsia="方正仿宋_GBK"/>
        </w:rPr>
      </w:pPr>
      <w:r>
        <w:rPr>
          <w:rFonts w:ascii="Times New Roman" w:hAnsi="Times New Roman" w:eastAsia="方正仿宋_GBK"/>
        </w:rPr>
        <w:t>根据《南京市妇女联合会机关职能配置、内设机构和人员编制规定》（宁委办发〔2019〕25 号）</w:t>
      </w:r>
      <w:r>
        <w:rPr>
          <w:rFonts w:hint="eastAsia" w:ascii="Times New Roman" w:hAnsi="Times New Roman" w:eastAsia="方正仿宋_GBK"/>
        </w:rPr>
        <w:t>及</w:t>
      </w:r>
      <w:r>
        <w:rPr>
          <w:rFonts w:ascii="Times New Roman" w:hAnsi="Times New Roman" w:eastAsia="方正仿宋_GBK"/>
        </w:rPr>
        <w:t>《</w:t>
      </w:r>
      <w:r>
        <w:rPr>
          <w:rFonts w:hint="eastAsia" w:ascii="Times New Roman" w:hAnsi="Times New Roman" w:eastAsia="方正仿宋_GBK"/>
        </w:rPr>
        <w:t>关于优化调整市妇女联合会机关主要职责内设机构等事项的批复</w:t>
      </w:r>
      <w:r>
        <w:rPr>
          <w:rFonts w:ascii="Times New Roman" w:hAnsi="Times New Roman" w:eastAsia="方正仿宋_GBK"/>
        </w:rPr>
        <w:t>》</w:t>
      </w:r>
      <w:r>
        <w:rPr>
          <w:rFonts w:hint="eastAsia" w:ascii="Times New Roman" w:hAnsi="Times New Roman" w:eastAsia="方正仿宋_GBK"/>
        </w:rPr>
        <w:t>（宁编办复</w:t>
      </w:r>
      <w:r>
        <w:rPr>
          <w:rFonts w:ascii="Times New Roman" w:hAnsi="Times New Roman" w:eastAsia="方正仿宋_GBK"/>
        </w:rPr>
        <w:t>〔20</w:t>
      </w:r>
      <w:r>
        <w:rPr>
          <w:rFonts w:hint="eastAsia" w:ascii="Times New Roman" w:hAnsi="Times New Roman" w:eastAsia="方正仿宋_GBK"/>
        </w:rPr>
        <w:t>24</w:t>
      </w:r>
      <w:r>
        <w:rPr>
          <w:rFonts w:ascii="Times New Roman" w:hAnsi="Times New Roman" w:eastAsia="方正仿宋_GBK"/>
        </w:rPr>
        <w:t>〕</w:t>
      </w:r>
      <w:r>
        <w:rPr>
          <w:rFonts w:hint="eastAsia" w:ascii="Times New Roman" w:hAnsi="Times New Roman" w:eastAsia="方正仿宋_GBK"/>
        </w:rPr>
        <w:t>44号）</w:t>
      </w:r>
      <w:r>
        <w:rPr>
          <w:rFonts w:ascii="Times New Roman" w:hAnsi="Times New Roman" w:eastAsia="方正仿宋_GBK"/>
        </w:rPr>
        <w:t>，南京市妇女联合会单位职能主要包括：</w:t>
      </w:r>
    </w:p>
    <w:p w14:paraId="79E47D8A">
      <w:pPr>
        <w:pStyle w:val="6"/>
        <w:spacing w:line="600" w:lineRule="exact"/>
        <w:ind w:right="102" w:firstLine="656"/>
        <w:rPr>
          <w:rFonts w:ascii="Times New Roman" w:hAnsi="Times New Roman" w:eastAsia="方正仿宋_GBK"/>
        </w:rPr>
      </w:pPr>
      <w:r>
        <w:rPr>
          <w:rFonts w:ascii="Times New Roman" w:hAnsi="Times New Roman" w:eastAsia="方正仿宋_GBK"/>
        </w:rPr>
        <w:t>（</w:t>
      </w:r>
      <w:r>
        <w:rPr>
          <w:rFonts w:hint="eastAsia" w:ascii="Times New Roman" w:hAnsi="Times New Roman" w:eastAsia="方正仿宋_GBK"/>
        </w:rPr>
        <w:t>1</w:t>
      </w:r>
      <w:r>
        <w:rPr>
          <w:rFonts w:ascii="Times New Roman" w:hAnsi="Times New Roman" w:eastAsia="方正仿宋_GBK"/>
        </w:rPr>
        <w:t>）深入学习贯彻习近平新时代中国特色社会主义思想，坚持正确政治方向， 团结、教育全市广大妇女以及各类妇女组织在思想上政治上行动上同党中央保持高度一致。</w:t>
      </w:r>
    </w:p>
    <w:p w14:paraId="516119E3">
      <w:pPr>
        <w:pStyle w:val="6"/>
        <w:spacing w:line="600" w:lineRule="exact"/>
        <w:ind w:right="102" w:firstLine="656"/>
        <w:rPr>
          <w:rFonts w:ascii="Times New Roman" w:hAnsi="Times New Roman" w:eastAsia="方正仿宋_GBK"/>
        </w:rPr>
      </w:pPr>
      <w:r>
        <w:rPr>
          <w:rFonts w:ascii="Times New Roman" w:hAnsi="Times New Roman" w:eastAsia="方正仿宋_GBK"/>
        </w:rPr>
        <w:t>（</w:t>
      </w:r>
      <w:r>
        <w:rPr>
          <w:rFonts w:hint="eastAsia" w:ascii="Times New Roman" w:hAnsi="Times New Roman" w:eastAsia="方正仿宋_GBK"/>
        </w:rPr>
        <w:t>2</w:t>
      </w:r>
      <w:r>
        <w:rPr>
          <w:rFonts w:ascii="Times New Roman" w:hAnsi="Times New Roman" w:eastAsia="方正仿宋_GBK"/>
        </w:rPr>
        <w:t>）紧密围绕党和政府的中心任务开展工作，团结、动员、组织广大妇女投身改革开放和社会主义现代化建设</w:t>
      </w:r>
      <w:r>
        <w:rPr>
          <w:rFonts w:hint="eastAsia" w:ascii="Times New Roman" w:hAnsi="Times New Roman" w:eastAsia="方正仿宋_GBK"/>
        </w:rPr>
        <w:t>，</w:t>
      </w:r>
      <w:r>
        <w:rPr>
          <w:rFonts w:ascii="Times New Roman" w:hAnsi="Times New Roman" w:eastAsia="方正仿宋_GBK"/>
        </w:rPr>
        <w:t>促进经济发展和社会全面进步，为维护改革发展稳定的大局服务。</w:t>
      </w:r>
    </w:p>
    <w:p w14:paraId="7B78D626">
      <w:pPr>
        <w:pStyle w:val="6"/>
        <w:spacing w:line="600" w:lineRule="exact"/>
        <w:ind w:right="102" w:firstLine="656"/>
        <w:rPr>
          <w:rFonts w:ascii="Times New Roman" w:hAnsi="Times New Roman" w:eastAsia="方正仿宋_GBK"/>
        </w:rPr>
      </w:pPr>
      <w:r>
        <w:rPr>
          <w:rFonts w:ascii="Times New Roman" w:hAnsi="Times New Roman" w:eastAsia="方正仿宋_GBK"/>
        </w:rPr>
        <w:t>（</w:t>
      </w:r>
      <w:r>
        <w:rPr>
          <w:rFonts w:hint="eastAsia" w:ascii="Times New Roman" w:hAnsi="Times New Roman" w:eastAsia="方正仿宋_GBK"/>
        </w:rPr>
        <w:t>3</w:t>
      </w:r>
      <w:r>
        <w:rPr>
          <w:rFonts w:ascii="Times New Roman" w:hAnsi="Times New Roman" w:eastAsia="方正仿宋_GBK"/>
        </w:rPr>
        <w:t>）宣传马克思主义妇女观和男女平等基本国策，教育和引导广大妇女践行社会主义核心价值观， 弘扬 “ 自尊、自信、 自立、自强 ” 的精神，表彰各类妇女先进典型，积极推动和开展对妇女的科学文化及生产劳动技能教育培训，提高妇女综合素质，促进全面发展。</w:t>
      </w:r>
    </w:p>
    <w:p w14:paraId="57C56168">
      <w:pPr>
        <w:pStyle w:val="6"/>
        <w:spacing w:line="600" w:lineRule="exact"/>
        <w:ind w:right="102" w:firstLine="656"/>
        <w:rPr>
          <w:rFonts w:ascii="Times New Roman" w:hAnsi="Times New Roman" w:eastAsia="方正仿宋_GBK"/>
        </w:rPr>
      </w:pPr>
      <w:r>
        <w:rPr>
          <w:rFonts w:ascii="Times New Roman" w:hAnsi="Times New Roman" w:eastAsia="方正仿宋_GBK"/>
        </w:rPr>
        <w:t>（</w:t>
      </w:r>
      <w:r>
        <w:rPr>
          <w:rFonts w:hint="eastAsia" w:ascii="Times New Roman" w:hAnsi="Times New Roman" w:eastAsia="方正仿宋_GBK"/>
        </w:rPr>
        <w:t>4</w:t>
      </w:r>
      <w:r>
        <w:rPr>
          <w:rFonts w:ascii="Times New Roman" w:hAnsi="Times New Roman" w:eastAsia="方正仿宋_GBK"/>
        </w:rPr>
        <w:t>）代表妇女参与国家和社会事务的民主管理、民主监督，推荐、输送妇女人才，促进妇女参政议政。关注并加强研究涉及妇女切身利益的热点、难点问题，及时向党和政府反映社情民意，提出对策建议；参与涉及妇女儿童民生的法律、法规、政策、规划的制定、修订和实施监督，切实维护妇女儿童合法权益。</w:t>
      </w:r>
    </w:p>
    <w:p w14:paraId="61644304">
      <w:pPr>
        <w:pStyle w:val="6"/>
        <w:spacing w:line="600" w:lineRule="exact"/>
        <w:ind w:right="102" w:firstLine="656"/>
        <w:rPr>
          <w:rFonts w:ascii="Times New Roman" w:hAnsi="Times New Roman" w:eastAsia="方正仿宋_GBK"/>
        </w:rPr>
      </w:pPr>
      <w:r>
        <w:rPr>
          <w:rFonts w:ascii="Times New Roman" w:hAnsi="Times New Roman" w:eastAsia="方正仿宋_GBK"/>
        </w:rPr>
        <w:t>（</w:t>
      </w:r>
      <w:r>
        <w:rPr>
          <w:rFonts w:hint="eastAsia" w:ascii="Times New Roman" w:hAnsi="Times New Roman" w:eastAsia="方正仿宋_GBK"/>
        </w:rPr>
        <w:t>5</w:t>
      </w:r>
      <w:r>
        <w:rPr>
          <w:rFonts w:ascii="Times New Roman" w:hAnsi="Times New Roman" w:eastAsia="方正仿宋_GBK"/>
        </w:rPr>
        <w:t>）加强妇联组织自身建设，指导建立健全各级妇联组织；指导全市各级妇联依据《中华全国妇女联合会章程》和妇女代表大会的决议，开展妇女儿童工作；联系团体会员并给予工作指导；加强干部队伍建设，提高妇联干部的整体素质。</w:t>
      </w:r>
    </w:p>
    <w:p w14:paraId="0BD139B1">
      <w:pPr>
        <w:pStyle w:val="6"/>
        <w:spacing w:line="600" w:lineRule="exact"/>
        <w:ind w:right="102" w:firstLine="656"/>
        <w:rPr>
          <w:rFonts w:ascii="Times New Roman" w:hAnsi="Times New Roman" w:eastAsia="方正仿宋_GBK"/>
        </w:rPr>
      </w:pPr>
      <w:r>
        <w:rPr>
          <w:rFonts w:ascii="Times New Roman" w:hAnsi="Times New Roman" w:eastAsia="方正仿宋_GBK"/>
        </w:rPr>
        <w:t>（</w:t>
      </w:r>
      <w:r>
        <w:rPr>
          <w:rFonts w:hint="eastAsia" w:ascii="Times New Roman" w:hAnsi="Times New Roman" w:eastAsia="方正仿宋_GBK"/>
        </w:rPr>
        <w:t>6</w:t>
      </w:r>
      <w:r>
        <w:rPr>
          <w:rFonts w:ascii="Times New Roman" w:hAnsi="Times New Roman" w:eastAsia="方正仿宋_GBK"/>
        </w:rPr>
        <w:t>）进一步扩大与各界妇女的联系，加强同港、澳、台及国际国内妇女、妇女组织的联谊和友好交往，增进了解和友谊，加强合作。</w:t>
      </w:r>
    </w:p>
    <w:p w14:paraId="77E1CAC4">
      <w:pPr>
        <w:pStyle w:val="6"/>
        <w:spacing w:line="600" w:lineRule="exact"/>
        <w:ind w:right="102" w:firstLine="656"/>
        <w:rPr>
          <w:rFonts w:ascii="Times New Roman" w:hAnsi="Times New Roman" w:eastAsia="方正仿宋_GBK"/>
        </w:rPr>
      </w:pPr>
      <w:r>
        <w:rPr>
          <w:rFonts w:ascii="Times New Roman" w:hAnsi="Times New Roman" w:eastAsia="方正仿宋_GBK"/>
        </w:rPr>
        <w:t>（</w:t>
      </w:r>
      <w:r>
        <w:rPr>
          <w:rFonts w:hint="eastAsia" w:ascii="Times New Roman" w:hAnsi="Times New Roman" w:eastAsia="方正仿宋_GBK"/>
        </w:rPr>
        <w:t>7</w:t>
      </w:r>
      <w:r>
        <w:rPr>
          <w:rFonts w:ascii="Times New Roman" w:hAnsi="Times New Roman" w:eastAsia="方正仿宋_GBK"/>
        </w:rPr>
        <w:t>）完成市委、市政府和上级妇联交办的其他任务。</w:t>
      </w:r>
    </w:p>
    <w:p w14:paraId="1F83290F">
      <w:pPr>
        <w:spacing w:line="600" w:lineRule="exact"/>
        <w:ind w:firstLine="659"/>
        <w:rPr>
          <w:rFonts w:ascii="Times New Roman" w:hAnsi="Times New Roman" w:eastAsia="方正仿宋_GBK"/>
          <w:b/>
          <w:bCs/>
        </w:rPr>
      </w:pPr>
      <w:r>
        <w:rPr>
          <w:rFonts w:ascii="Times New Roman" w:hAnsi="Times New Roman" w:eastAsia="方正仿宋_GBK"/>
          <w:b/>
          <w:bCs/>
        </w:rPr>
        <w:t>2. 机构设置</w:t>
      </w:r>
    </w:p>
    <w:p w14:paraId="65D28875">
      <w:pPr>
        <w:spacing w:line="600" w:lineRule="exact"/>
        <w:ind w:firstLine="656"/>
        <w:rPr>
          <w:rFonts w:ascii="Times New Roman" w:hAnsi="Times New Roman" w:eastAsia="方正仿宋_GBK"/>
        </w:rPr>
      </w:pPr>
      <w:r>
        <w:rPr>
          <w:rFonts w:ascii="Times New Roman" w:hAnsi="Times New Roman" w:eastAsia="方正仿宋_GBK"/>
        </w:rPr>
        <w:t>南京市妇女联合会内设机构8个，分别是办公室（研究室）、组织部、宣传部、妇女发展部、权益部、家庭和儿童工作部、妇女儿童工作办公室和机关党委。</w:t>
      </w:r>
      <w:r>
        <w:rPr>
          <w:rFonts w:ascii="Times New Roman" w:hAnsi="Times New Roman" w:eastAsia="方正仿宋_GBK"/>
          <w:szCs w:val="32"/>
        </w:rPr>
        <w:t>下设南京市妇女儿童活动中心（南京市妇女联合会新媒体服务中心）（公益二类）一家事业单位。</w:t>
      </w:r>
    </w:p>
    <w:p w14:paraId="2E394031">
      <w:pPr>
        <w:spacing w:line="600" w:lineRule="exact"/>
        <w:ind w:firstLine="659"/>
        <w:rPr>
          <w:rFonts w:ascii="Times New Roman" w:hAnsi="Times New Roman" w:eastAsia="方正仿宋_GBK"/>
          <w:b/>
          <w:bCs/>
        </w:rPr>
      </w:pPr>
      <w:r>
        <w:rPr>
          <w:rFonts w:ascii="Times New Roman" w:hAnsi="Times New Roman" w:eastAsia="方正仿宋_GBK"/>
          <w:b/>
          <w:bCs/>
        </w:rPr>
        <w:t>3. 人员配置</w:t>
      </w:r>
    </w:p>
    <w:p w14:paraId="14B5562E">
      <w:pPr>
        <w:spacing w:line="600" w:lineRule="exact"/>
        <w:ind w:firstLine="656"/>
        <w:rPr>
          <w:rFonts w:ascii="Times New Roman" w:hAnsi="Times New Roman" w:eastAsia="方正仿宋_GBK"/>
        </w:rPr>
      </w:pPr>
      <w:r>
        <w:rPr>
          <w:rFonts w:ascii="Times New Roman" w:hAnsi="Times New Roman" w:eastAsia="方正仿宋_GBK"/>
        </w:rPr>
        <w:t>截至2025年</w:t>
      </w:r>
      <w:r>
        <w:rPr>
          <w:rFonts w:hint="eastAsia" w:ascii="Times New Roman" w:hAnsi="Times New Roman" w:eastAsia="方正仿宋_GBK"/>
        </w:rPr>
        <w:t>底</w:t>
      </w:r>
      <w:r>
        <w:rPr>
          <w:rFonts w:ascii="Times New Roman" w:hAnsi="Times New Roman" w:eastAsia="方正仿宋_GBK"/>
        </w:rPr>
        <w:t>，南京市妇女联合会行政编制39人、实有41人，行政附属编制2人、实有2人，辅助人员3人、实有3人，离退休人员24人。</w:t>
      </w:r>
    </w:p>
    <w:p w14:paraId="4AC905A7">
      <w:pPr>
        <w:spacing w:line="600" w:lineRule="exact"/>
        <w:ind w:firstLine="659"/>
        <w:rPr>
          <w:rFonts w:ascii="Times New Roman" w:hAnsi="Times New Roman" w:eastAsia="方正仿宋_GBK"/>
          <w:b/>
          <w:bCs/>
        </w:rPr>
      </w:pPr>
      <w:r>
        <w:rPr>
          <w:rFonts w:ascii="Times New Roman" w:hAnsi="Times New Roman" w:eastAsia="方正仿宋_GBK"/>
          <w:b/>
          <w:bCs/>
        </w:rPr>
        <w:t>4. 部门资产</w:t>
      </w:r>
    </w:p>
    <w:p w14:paraId="3EA5AD51">
      <w:pPr>
        <w:spacing w:line="600" w:lineRule="exact"/>
        <w:ind w:firstLine="656"/>
        <w:rPr>
          <w:rFonts w:ascii="Times New Roman" w:hAnsi="Times New Roman" w:eastAsia="方正仿宋_GBK"/>
        </w:rPr>
      </w:pPr>
      <w:r>
        <w:rPr>
          <w:rFonts w:ascii="Times New Roman" w:hAnsi="Times New Roman" w:eastAsia="方正仿宋_GBK"/>
        </w:rPr>
        <w:t>截至2025年12月31日，市妇联资产总额为82.53万元，其中流动资产28.58万元，非流动资产53.95万元</w:t>
      </w:r>
      <w:r>
        <w:rPr>
          <w:rFonts w:hint="eastAsia" w:ascii="Times New Roman" w:hAnsi="Times New Roman" w:eastAsia="方正仿宋_GBK"/>
        </w:rPr>
        <w:t>；</w:t>
      </w:r>
      <w:r>
        <w:rPr>
          <w:rFonts w:ascii="Times New Roman" w:hAnsi="Times New Roman" w:eastAsia="方正仿宋_GBK"/>
        </w:rPr>
        <w:t>固定资产原值为279.09万元，净值为53.95万元，办公设备按照核定标准配置。</w:t>
      </w:r>
      <w:r>
        <w:rPr>
          <w:rFonts w:hint="eastAsia" w:ascii="Times New Roman" w:hAnsi="Times New Roman" w:eastAsia="方正仿宋_GBK"/>
        </w:rPr>
        <w:t>动产82.53万元，不动产0万元</w:t>
      </w:r>
      <w:r>
        <w:rPr>
          <w:rFonts w:ascii="Times New Roman" w:hAnsi="Times New Roman" w:eastAsia="方正仿宋_GBK"/>
        </w:rPr>
        <w:t>。市妇联</w:t>
      </w:r>
      <w:r>
        <w:rPr>
          <w:rFonts w:hint="eastAsia" w:ascii="Times New Roman" w:hAnsi="Times New Roman" w:eastAsia="方正仿宋_GBK"/>
        </w:rPr>
        <w:t>负债</w:t>
      </w:r>
      <w:r>
        <w:rPr>
          <w:rFonts w:ascii="Times New Roman" w:hAnsi="Times New Roman" w:eastAsia="方正仿宋_GBK"/>
        </w:rPr>
        <w:t>总额为</w:t>
      </w:r>
      <w:r>
        <w:rPr>
          <w:rFonts w:hint="eastAsia" w:ascii="Times New Roman" w:hAnsi="Times New Roman" w:eastAsia="方正仿宋_GBK"/>
        </w:rPr>
        <w:t>28.58</w:t>
      </w:r>
      <w:r>
        <w:rPr>
          <w:rFonts w:ascii="Times New Roman" w:hAnsi="Times New Roman" w:eastAsia="方正仿宋_GBK"/>
        </w:rPr>
        <w:t>万元，其中流动</w:t>
      </w:r>
      <w:r>
        <w:rPr>
          <w:rFonts w:hint="eastAsia" w:ascii="Times New Roman" w:hAnsi="Times New Roman" w:eastAsia="方正仿宋_GBK"/>
        </w:rPr>
        <w:t>负债28.58</w:t>
      </w:r>
      <w:r>
        <w:rPr>
          <w:rFonts w:ascii="Times New Roman" w:hAnsi="Times New Roman" w:eastAsia="方正仿宋_GBK"/>
        </w:rPr>
        <w:t>万元，非流动</w:t>
      </w:r>
      <w:r>
        <w:rPr>
          <w:rFonts w:hint="eastAsia" w:ascii="Times New Roman" w:hAnsi="Times New Roman" w:eastAsia="方正仿宋_GBK"/>
        </w:rPr>
        <w:t>负债0</w:t>
      </w:r>
      <w:r>
        <w:rPr>
          <w:rFonts w:ascii="Times New Roman" w:hAnsi="Times New Roman" w:eastAsia="方正仿宋_GBK"/>
        </w:rPr>
        <w:t>万元</w:t>
      </w:r>
      <w:r>
        <w:rPr>
          <w:rFonts w:hint="eastAsia" w:ascii="Times New Roman" w:hAnsi="Times New Roman" w:eastAsia="方正仿宋_GBK"/>
        </w:rPr>
        <w:t>。</w:t>
      </w:r>
    </w:p>
    <w:p w14:paraId="2E455270">
      <w:pPr>
        <w:spacing w:line="600" w:lineRule="exact"/>
        <w:ind w:firstLine="656"/>
        <w:rPr>
          <w:rFonts w:ascii="Times New Roman" w:hAnsi="Times New Roman" w:eastAsia="方正楷体_GBK"/>
        </w:rPr>
      </w:pPr>
      <w:bookmarkStart w:id="7" w:name="_Toc5295"/>
      <w:bookmarkStart w:id="8" w:name="_Toc46246270"/>
      <w:bookmarkStart w:id="9" w:name="_Toc44429604"/>
      <w:bookmarkStart w:id="10" w:name="_Toc44429501"/>
      <w:r>
        <w:rPr>
          <w:rFonts w:ascii="Times New Roman" w:hAnsi="Times New Roman" w:eastAsia="方正楷体_GBK"/>
        </w:rPr>
        <w:t>（二）部门（单位）</w:t>
      </w:r>
      <w:bookmarkEnd w:id="7"/>
      <w:bookmarkEnd w:id="8"/>
      <w:bookmarkEnd w:id="9"/>
      <w:bookmarkEnd w:id="10"/>
      <w:r>
        <w:rPr>
          <w:rFonts w:ascii="Times New Roman" w:hAnsi="Times New Roman" w:eastAsia="方正楷体_GBK"/>
        </w:rPr>
        <w:t>资金情况</w:t>
      </w:r>
    </w:p>
    <w:p w14:paraId="3E7E053E">
      <w:pPr>
        <w:spacing w:line="600" w:lineRule="exact"/>
        <w:ind w:firstLine="656"/>
        <w:rPr>
          <w:rFonts w:ascii="Times New Roman" w:hAnsi="Times New Roman" w:eastAsia="方正仿宋_GBK"/>
        </w:rPr>
      </w:pPr>
      <w:bookmarkStart w:id="11" w:name="_Toc2354"/>
      <w:r>
        <w:rPr>
          <w:rFonts w:ascii="Times New Roman" w:hAnsi="Times New Roman" w:eastAsia="方正仿宋_GBK"/>
        </w:rPr>
        <w:t>1. 部门收支情况</w:t>
      </w:r>
      <w:bookmarkEnd w:id="11"/>
    </w:p>
    <w:p w14:paraId="4CFAF3C4">
      <w:pPr>
        <w:spacing w:line="600" w:lineRule="exact"/>
        <w:ind w:firstLine="656"/>
        <w:rPr>
          <w:rFonts w:ascii="Times New Roman" w:hAnsi="Times New Roman" w:eastAsia="方正仿宋_GBK"/>
        </w:rPr>
      </w:pPr>
      <w:r>
        <w:rPr>
          <w:rFonts w:ascii="Times New Roman" w:hAnsi="Times New Roman" w:eastAsia="方正仿宋_GBK"/>
        </w:rPr>
        <w:t>2025年南京市妇女联合会年初预算数为2558.68万元，其中：基本支出2232.68万元，项目支出326万元。调整后预算2722.02万元，其中：基本支出2383.41万元，调增150.73万元，调增的主要原因是正常增人增资以及社保、公积金等政策性增长带来基本支出增加；项目支出338.61万元，调增12.61万元，调增的主要原因是在预算执行中，商洛妇联系统干部能力提升培训、信创工程等项目资金是以追加预算的形式安排。2025年南京市妇女联合会实际支出2722.02万元，预算执行率100%。其中：基本支出2383.41万元，预算执行率100%；项目支出338.61万元，预算执行率100%。详情见表1。</w:t>
      </w:r>
    </w:p>
    <w:p w14:paraId="1F63DB07">
      <w:pPr>
        <w:spacing w:line="600" w:lineRule="exact"/>
        <w:ind w:firstLine="656"/>
        <w:rPr>
          <w:rFonts w:ascii="Times New Roman" w:hAnsi="Times New Roman" w:eastAsia="方正仿宋_GBK"/>
        </w:rPr>
      </w:pPr>
      <w:r>
        <w:rPr>
          <w:rFonts w:ascii="Times New Roman" w:hAnsi="Times New Roman" w:eastAsia="方正仿宋_GBK"/>
        </w:rPr>
        <w:t>表1 2025年市妇联部门预算安排与支出情况</w:t>
      </w:r>
    </w:p>
    <w:p w14:paraId="63230BF1">
      <w:pPr>
        <w:shd w:val="clear" w:color="auto" w:fill="FFFFFF"/>
        <w:ind w:firstLine="656"/>
        <w:jc w:val="right"/>
        <w:rPr>
          <w:rFonts w:ascii="Times New Roman" w:hAnsi="Times New Roman"/>
          <w:szCs w:val="32"/>
        </w:rPr>
      </w:pPr>
      <w:r>
        <w:rPr>
          <w:rFonts w:ascii="Times New Roman" w:hAnsi="Times New Roman"/>
        </w:rPr>
        <w:t>单位：万元</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3"/>
        <w:gridCol w:w="1834"/>
        <w:gridCol w:w="2167"/>
        <w:gridCol w:w="1835"/>
        <w:gridCol w:w="1835"/>
      </w:tblGrid>
      <w:tr w14:paraId="4B4E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503" w:type="dxa"/>
            <w:vAlign w:val="center"/>
          </w:tcPr>
          <w:p w14:paraId="684C97A6">
            <w:pPr>
              <w:shd w:val="clear" w:color="auto" w:fill="FFFFFF"/>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支出类型</w:t>
            </w:r>
          </w:p>
        </w:tc>
        <w:tc>
          <w:tcPr>
            <w:tcW w:w="1834" w:type="dxa"/>
            <w:vAlign w:val="center"/>
          </w:tcPr>
          <w:p w14:paraId="4667380C">
            <w:pPr>
              <w:shd w:val="clear" w:color="auto" w:fill="FFFFFF"/>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年初预算数</w:t>
            </w:r>
          </w:p>
        </w:tc>
        <w:tc>
          <w:tcPr>
            <w:tcW w:w="2167" w:type="dxa"/>
            <w:vAlign w:val="center"/>
          </w:tcPr>
          <w:p w14:paraId="4DBAE1F5">
            <w:pPr>
              <w:shd w:val="clear" w:color="auto" w:fill="FFFFFF"/>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调整后预算数</w:t>
            </w:r>
          </w:p>
        </w:tc>
        <w:tc>
          <w:tcPr>
            <w:tcW w:w="1835" w:type="dxa"/>
            <w:vAlign w:val="center"/>
          </w:tcPr>
          <w:p w14:paraId="5AA1E673">
            <w:pPr>
              <w:shd w:val="clear" w:color="auto" w:fill="FFFFFF"/>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实际支出数</w:t>
            </w:r>
          </w:p>
        </w:tc>
        <w:tc>
          <w:tcPr>
            <w:tcW w:w="1835" w:type="dxa"/>
            <w:vAlign w:val="center"/>
          </w:tcPr>
          <w:p w14:paraId="6B12044F">
            <w:pPr>
              <w:shd w:val="clear" w:color="auto" w:fill="FFFFFF"/>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预算执行率</w:t>
            </w:r>
          </w:p>
        </w:tc>
      </w:tr>
      <w:tr w14:paraId="54258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3" w:type="dxa"/>
            <w:vAlign w:val="center"/>
          </w:tcPr>
          <w:p w14:paraId="2891679A">
            <w:pPr>
              <w:shd w:val="clear" w:color="auto" w:fill="FFFFFF"/>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基本支出</w:t>
            </w:r>
          </w:p>
        </w:tc>
        <w:tc>
          <w:tcPr>
            <w:tcW w:w="1834" w:type="dxa"/>
            <w:vAlign w:val="center"/>
          </w:tcPr>
          <w:p w14:paraId="1D84F499">
            <w:pPr>
              <w:shd w:val="clear" w:color="auto" w:fill="FFFFFF"/>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2232.68</w:t>
            </w:r>
          </w:p>
        </w:tc>
        <w:tc>
          <w:tcPr>
            <w:tcW w:w="2167" w:type="dxa"/>
            <w:vAlign w:val="center"/>
          </w:tcPr>
          <w:p w14:paraId="2AEB7A54">
            <w:pPr>
              <w:shd w:val="clear" w:color="auto" w:fill="FFFFFF"/>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2383.41</w:t>
            </w:r>
          </w:p>
        </w:tc>
        <w:tc>
          <w:tcPr>
            <w:tcW w:w="1835" w:type="dxa"/>
            <w:vAlign w:val="center"/>
          </w:tcPr>
          <w:p w14:paraId="348CE4F2">
            <w:pPr>
              <w:shd w:val="clear" w:color="auto" w:fill="FFFFFF"/>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2383.41</w:t>
            </w:r>
          </w:p>
        </w:tc>
        <w:tc>
          <w:tcPr>
            <w:tcW w:w="1835" w:type="dxa"/>
            <w:vAlign w:val="center"/>
          </w:tcPr>
          <w:p w14:paraId="4968E52C">
            <w:pPr>
              <w:shd w:val="clear" w:color="auto" w:fill="FFFFFF"/>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100%</w:t>
            </w:r>
          </w:p>
        </w:tc>
      </w:tr>
      <w:tr w14:paraId="4EAD2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3" w:type="dxa"/>
            <w:vAlign w:val="center"/>
          </w:tcPr>
          <w:p w14:paraId="345B3DEE">
            <w:pPr>
              <w:shd w:val="clear" w:color="auto" w:fill="FFFFFF"/>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项目支出</w:t>
            </w:r>
          </w:p>
        </w:tc>
        <w:tc>
          <w:tcPr>
            <w:tcW w:w="1834" w:type="dxa"/>
            <w:vAlign w:val="center"/>
          </w:tcPr>
          <w:p w14:paraId="3E752273">
            <w:pPr>
              <w:shd w:val="clear" w:color="auto" w:fill="FFFFFF"/>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326</w:t>
            </w:r>
          </w:p>
        </w:tc>
        <w:tc>
          <w:tcPr>
            <w:tcW w:w="2167" w:type="dxa"/>
            <w:vAlign w:val="center"/>
          </w:tcPr>
          <w:p w14:paraId="11159BD3">
            <w:pPr>
              <w:shd w:val="clear" w:color="auto" w:fill="FFFFFF"/>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338.61</w:t>
            </w:r>
          </w:p>
        </w:tc>
        <w:tc>
          <w:tcPr>
            <w:tcW w:w="1835" w:type="dxa"/>
            <w:vAlign w:val="center"/>
          </w:tcPr>
          <w:p w14:paraId="4AE940B2">
            <w:pPr>
              <w:shd w:val="clear" w:color="auto" w:fill="FFFFFF"/>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338.61</w:t>
            </w:r>
          </w:p>
        </w:tc>
        <w:tc>
          <w:tcPr>
            <w:tcW w:w="1835" w:type="dxa"/>
            <w:vAlign w:val="center"/>
          </w:tcPr>
          <w:p w14:paraId="05368727">
            <w:pPr>
              <w:shd w:val="clear" w:color="auto" w:fill="FFFFFF"/>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100%</w:t>
            </w:r>
          </w:p>
        </w:tc>
      </w:tr>
      <w:tr w14:paraId="6C8FF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3" w:type="dxa"/>
            <w:vAlign w:val="center"/>
          </w:tcPr>
          <w:p w14:paraId="3C854C25">
            <w:pPr>
              <w:shd w:val="clear" w:color="auto" w:fill="FFFFFF"/>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合计</w:t>
            </w:r>
          </w:p>
        </w:tc>
        <w:tc>
          <w:tcPr>
            <w:tcW w:w="1834" w:type="dxa"/>
            <w:vAlign w:val="center"/>
          </w:tcPr>
          <w:p w14:paraId="02A59F3A">
            <w:pPr>
              <w:shd w:val="clear" w:color="auto" w:fill="FFFFFF"/>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2558.68</w:t>
            </w:r>
          </w:p>
        </w:tc>
        <w:tc>
          <w:tcPr>
            <w:tcW w:w="2167" w:type="dxa"/>
            <w:vAlign w:val="center"/>
          </w:tcPr>
          <w:p w14:paraId="708DC085">
            <w:pPr>
              <w:shd w:val="clear" w:color="auto" w:fill="FFFFFF"/>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2722.02</w:t>
            </w:r>
          </w:p>
        </w:tc>
        <w:tc>
          <w:tcPr>
            <w:tcW w:w="1835" w:type="dxa"/>
            <w:vAlign w:val="center"/>
          </w:tcPr>
          <w:p w14:paraId="324D91A9">
            <w:pPr>
              <w:shd w:val="clear" w:color="auto" w:fill="FFFFFF"/>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2722.02</w:t>
            </w:r>
          </w:p>
        </w:tc>
        <w:tc>
          <w:tcPr>
            <w:tcW w:w="1835" w:type="dxa"/>
            <w:vAlign w:val="center"/>
          </w:tcPr>
          <w:p w14:paraId="6FFFC2AD">
            <w:pPr>
              <w:shd w:val="clear" w:color="auto" w:fill="FFFFFF"/>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100%</w:t>
            </w:r>
          </w:p>
        </w:tc>
      </w:tr>
    </w:tbl>
    <w:p w14:paraId="653A3817">
      <w:pPr>
        <w:spacing w:line="600" w:lineRule="exact"/>
        <w:ind w:firstLine="659"/>
        <w:rPr>
          <w:rFonts w:ascii="Times New Roman" w:hAnsi="Times New Roman" w:eastAsia="方正仿宋_GBK"/>
          <w:b/>
        </w:rPr>
      </w:pPr>
      <w:bookmarkStart w:id="12" w:name="_Toc21851"/>
      <w:r>
        <w:rPr>
          <w:rFonts w:ascii="Times New Roman" w:hAnsi="Times New Roman" w:eastAsia="方正仿宋_GBK"/>
          <w:b/>
        </w:rPr>
        <w:t>2. 三公经费情况</w:t>
      </w:r>
    </w:p>
    <w:p w14:paraId="38AFCB20">
      <w:pPr>
        <w:spacing w:line="600" w:lineRule="exact"/>
        <w:ind w:firstLine="656"/>
        <w:rPr>
          <w:rFonts w:ascii="Times New Roman" w:hAnsi="Times New Roman" w:eastAsia="方正仿宋_GBK"/>
        </w:rPr>
      </w:pPr>
      <w:r>
        <w:rPr>
          <w:rFonts w:ascii="Times New Roman" w:hAnsi="Times New Roman" w:eastAsia="方正仿宋_GBK"/>
        </w:rPr>
        <w:t>2025年</w:t>
      </w:r>
      <w:r>
        <w:rPr>
          <w:rFonts w:hint="eastAsia" w:ascii="方正仿宋_GBK" w:hAnsi="方正仿宋_GBK" w:eastAsia="方正仿宋_GBK" w:cs="方正仿宋_GBK"/>
        </w:rPr>
        <w:t>“三公经费”调整后预</w:t>
      </w:r>
      <w:r>
        <w:rPr>
          <w:rFonts w:ascii="Times New Roman" w:hAnsi="Times New Roman" w:eastAsia="方正仿宋_GBK"/>
        </w:rPr>
        <w:t>算数为7.73万元，决算支出数为7.73万元，实际执行占预算100%。详情见表2。</w:t>
      </w:r>
    </w:p>
    <w:p w14:paraId="133B6EE6">
      <w:pPr>
        <w:spacing w:line="600" w:lineRule="exact"/>
        <w:ind w:firstLine="656"/>
        <w:rPr>
          <w:rFonts w:ascii="Times New Roman" w:hAnsi="Times New Roman" w:eastAsia="方正仿宋_GBK"/>
          <w:bCs/>
        </w:rPr>
      </w:pPr>
      <w:r>
        <w:rPr>
          <w:rFonts w:ascii="Times New Roman" w:hAnsi="Times New Roman" w:eastAsia="方正仿宋_GBK"/>
          <w:bCs/>
        </w:rPr>
        <w:t>表2 2025 年市妇联</w:t>
      </w:r>
      <w:r>
        <w:rPr>
          <w:rFonts w:hint="eastAsia" w:ascii="方正仿宋_GBK" w:hAnsi="方正仿宋_GBK" w:eastAsia="方正仿宋_GBK" w:cs="方正仿宋_GBK"/>
          <w:bCs/>
        </w:rPr>
        <w:t>部门“三公经费”预算与执行</w:t>
      </w:r>
      <w:r>
        <w:rPr>
          <w:rFonts w:ascii="Times New Roman" w:hAnsi="Times New Roman" w:eastAsia="方正仿宋_GBK"/>
          <w:bCs/>
        </w:rPr>
        <w:t>情况表</w:t>
      </w:r>
    </w:p>
    <w:p w14:paraId="1284A5BC">
      <w:pPr>
        <w:shd w:val="clear" w:color="auto" w:fill="FFFFFF"/>
        <w:ind w:firstLine="656"/>
        <w:jc w:val="right"/>
        <w:rPr>
          <w:rFonts w:ascii="Times New Roman" w:hAnsi="Times New Roman"/>
        </w:rPr>
      </w:pPr>
      <w:r>
        <w:rPr>
          <w:rFonts w:ascii="Times New Roman" w:hAnsi="Times New Roman"/>
        </w:rPr>
        <w:t>单位：万元</w:t>
      </w:r>
    </w:p>
    <w:tbl>
      <w:tblPr>
        <w:tblStyle w:val="17"/>
        <w:tblW w:w="91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07"/>
        <w:gridCol w:w="2270"/>
        <w:gridCol w:w="1860"/>
        <w:gridCol w:w="1840"/>
      </w:tblGrid>
      <w:tr w14:paraId="2A93D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3207" w:type="dxa"/>
            <w:vAlign w:val="center"/>
          </w:tcPr>
          <w:p w14:paraId="1686E294">
            <w:pPr>
              <w:shd w:val="clear" w:color="auto" w:fill="FFFFFF"/>
              <w:ind w:firstLine="1232" w:firstLineChars="400"/>
              <w:rPr>
                <w:rFonts w:ascii="Times New Roman" w:hAnsi="Times New Roman" w:eastAsia="方正仿宋_GBK"/>
                <w:sz w:val="30"/>
                <w:szCs w:val="30"/>
              </w:rPr>
            </w:pPr>
            <w:r>
              <w:rPr>
                <w:rFonts w:ascii="Times New Roman" w:hAnsi="Times New Roman" w:eastAsia="方正仿宋_GBK"/>
                <w:sz w:val="30"/>
                <w:szCs w:val="30"/>
              </w:rPr>
              <w:t>项目</w:t>
            </w:r>
          </w:p>
        </w:tc>
        <w:tc>
          <w:tcPr>
            <w:tcW w:w="2270" w:type="dxa"/>
            <w:vAlign w:val="center"/>
          </w:tcPr>
          <w:p w14:paraId="5A444CF2">
            <w:pPr>
              <w:shd w:val="clear" w:color="auto" w:fill="FFFFFF"/>
              <w:ind w:firstLine="0" w:firstLineChars="0"/>
              <w:rPr>
                <w:rFonts w:ascii="Times New Roman" w:hAnsi="Times New Roman" w:eastAsia="方正仿宋_GBK"/>
                <w:sz w:val="30"/>
                <w:szCs w:val="30"/>
              </w:rPr>
            </w:pPr>
            <w:r>
              <w:rPr>
                <w:rFonts w:ascii="Times New Roman" w:hAnsi="Times New Roman" w:eastAsia="方正仿宋_GBK"/>
                <w:sz w:val="30"/>
                <w:szCs w:val="30"/>
              </w:rPr>
              <w:t>调整后预算数</w:t>
            </w:r>
          </w:p>
        </w:tc>
        <w:tc>
          <w:tcPr>
            <w:tcW w:w="1860" w:type="dxa"/>
            <w:vAlign w:val="center"/>
          </w:tcPr>
          <w:p w14:paraId="4595C885">
            <w:pPr>
              <w:shd w:val="clear" w:color="auto" w:fill="FFFFFF"/>
              <w:ind w:firstLine="0" w:firstLineChars="0"/>
              <w:rPr>
                <w:rFonts w:ascii="Times New Roman" w:hAnsi="Times New Roman" w:eastAsia="方正仿宋_GBK"/>
                <w:sz w:val="30"/>
                <w:szCs w:val="30"/>
              </w:rPr>
            </w:pPr>
            <w:r>
              <w:rPr>
                <w:rFonts w:ascii="Times New Roman" w:hAnsi="Times New Roman" w:eastAsia="方正仿宋_GBK"/>
                <w:sz w:val="30"/>
                <w:szCs w:val="30"/>
              </w:rPr>
              <w:t>实际支出数</w:t>
            </w:r>
          </w:p>
        </w:tc>
        <w:tc>
          <w:tcPr>
            <w:tcW w:w="1840" w:type="dxa"/>
            <w:vAlign w:val="center"/>
          </w:tcPr>
          <w:p w14:paraId="6D512528">
            <w:pPr>
              <w:shd w:val="clear" w:color="auto" w:fill="FFFFFF"/>
              <w:ind w:firstLine="0" w:firstLineChars="0"/>
              <w:rPr>
                <w:rFonts w:ascii="Times New Roman" w:hAnsi="Times New Roman" w:eastAsia="方正仿宋_GBK"/>
                <w:sz w:val="30"/>
                <w:szCs w:val="30"/>
              </w:rPr>
            </w:pPr>
            <w:r>
              <w:rPr>
                <w:rFonts w:ascii="Times New Roman" w:hAnsi="Times New Roman" w:eastAsia="方正仿宋_GBK"/>
                <w:sz w:val="30"/>
                <w:szCs w:val="30"/>
              </w:rPr>
              <w:t>预算执行率</w:t>
            </w:r>
          </w:p>
        </w:tc>
      </w:tr>
      <w:tr w14:paraId="18D13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7" w:type="dxa"/>
            <w:vAlign w:val="center"/>
          </w:tcPr>
          <w:p w14:paraId="0F3C0966">
            <w:pPr>
              <w:shd w:val="clear" w:color="auto" w:fill="FFFFFF"/>
              <w:ind w:firstLine="0" w:firstLineChars="0"/>
              <w:rPr>
                <w:rFonts w:ascii="Times New Roman" w:hAnsi="Times New Roman" w:eastAsia="方正仿宋_GBK"/>
                <w:sz w:val="30"/>
                <w:szCs w:val="30"/>
              </w:rPr>
            </w:pPr>
            <w:r>
              <w:rPr>
                <w:rFonts w:ascii="Times New Roman" w:hAnsi="Times New Roman" w:eastAsia="方正仿宋_GBK"/>
                <w:sz w:val="30"/>
                <w:szCs w:val="30"/>
              </w:rPr>
              <w:t>1.因公出国（境）费</w:t>
            </w:r>
          </w:p>
        </w:tc>
        <w:tc>
          <w:tcPr>
            <w:tcW w:w="2270" w:type="dxa"/>
            <w:vAlign w:val="center"/>
          </w:tcPr>
          <w:p w14:paraId="237EDC64">
            <w:pPr>
              <w:shd w:val="clear" w:color="auto" w:fill="FFFFFF"/>
              <w:ind w:firstLine="616"/>
              <w:rPr>
                <w:rFonts w:ascii="Times New Roman" w:hAnsi="Times New Roman" w:eastAsia="方正仿宋_GBK"/>
                <w:sz w:val="30"/>
                <w:szCs w:val="30"/>
              </w:rPr>
            </w:pPr>
            <w:r>
              <w:rPr>
                <w:rFonts w:ascii="Times New Roman" w:hAnsi="Times New Roman" w:eastAsia="方正仿宋_GBK"/>
                <w:sz w:val="30"/>
                <w:szCs w:val="30"/>
              </w:rPr>
              <w:t>4.11</w:t>
            </w:r>
          </w:p>
        </w:tc>
        <w:tc>
          <w:tcPr>
            <w:tcW w:w="1860" w:type="dxa"/>
            <w:vAlign w:val="center"/>
          </w:tcPr>
          <w:p w14:paraId="04F734ED">
            <w:pPr>
              <w:shd w:val="clear" w:color="auto" w:fill="FFFFFF"/>
              <w:ind w:firstLine="616"/>
              <w:rPr>
                <w:rFonts w:ascii="Times New Roman" w:hAnsi="Times New Roman" w:eastAsia="方正仿宋_GBK"/>
                <w:sz w:val="30"/>
                <w:szCs w:val="30"/>
              </w:rPr>
            </w:pPr>
            <w:r>
              <w:rPr>
                <w:rFonts w:ascii="Times New Roman" w:hAnsi="Times New Roman" w:eastAsia="方正仿宋_GBK"/>
                <w:sz w:val="30"/>
                <w:szCs w:val="30"/>
              </w:rPr>
              <w:t>4.11</w:t>
            </w:r>
          </w:p>
        </w:tc>
        <w:tc>
          <w:tcPr>
            <w:tcW w:w="1840" w:type="dxa"/>
            <w:vAlign w:val="center"/>
          </w:tcPr>
          <w:p w14:paraId="1A777764">
            <w:pPr>
              <w:shd w:val="clear" w:color="auto" w:fill="FFFFFF"/>
              <w:ind w:firstLine="616"/>
              <w:rPr>
                <w:rFonts w:ascii="Times New Roman" w:hAnsi="Times New Roman" w:eastAsia="方正仿宋_GBK"/>
                <w:sz w:val="30"/>
                <w:szCs w:val="30"/>
              </w:rPr>
            </w:pPr>
            <w:r>
              <w:rPr>
                <w:rFonts w:ascii="Times New Roman" w:hAnsi="Times New Roman" w:eastAsia="方正仿宋_GBK"/>
                <w:sz w:val="30"/>
                <w:szCs w:val="30"/>
              </w:rPr>
              <w:t>100%</w:t>
            </w:r>
          </w:p>
        </w:tc>
      </w:tr>
      <w:tr w14:paraId="01A25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7" w:type="dxa"/>
            <w:vAlign w:val="center"/>
          </w:tcPr>
          <w:p w14:paraId="026590F7">
            <w:pPr>
              <w:shd w:val="clear" w:color="auto" w:fill="FFFFFF"/>
              <w:ind w:firstLine="0" w:firstLineChars="0"/>
              <w:rPr>
                <w:rFonts w:ascii="Times New Roman" w:hAnsi="Times New Roman" w:eastAsia="方正仿宋_GBK"/>
                <w:sz w:val="30"/>
                <w:szCs w:val="30"/>
              </w:rPr>
            </w:pPr>
            <w:r>
              <w:rPr>
                <w:rFonts w:ascii="Times New Roman" w:hAnsi="Times New Roman" w:eastAsia="方正仿宋_GBK"/>
                <w:sz w:val="30"/>
                <w:szCs w:val="30"/>
              </w:rPr>
              <w:t>2.公务车运行维护费</w:t>
            </w:r>
          </w:p>
        </w:tc>
        <w:tc>
          <w:tcPr>
            <w:tcW w:w="2270" w:type="dxa"/>
            <w:vAlign w:val="center"/>
          </w:tcPr>
          <w:p w14:paraId="6571F380">
            <w:pPr>
              <w:shd w:val="clear" w:color="auto" w:fill="FFFFFF"/>
              <w:ind w:firstLine="616"/>
              <w:rPr>
                <w:rFonts w:ascii="Times New Roman" w:hAnsi="Times New Roman" w:eastAsia="方正仿宋_GBK"/>
                <w:sz w:val="30"/>
                <w:szCs w:val="30"/>
              </w:rPr>
            </w:pPr>
            <w:r>
              <w:rPr>
                <w:rFonts w:ascii="Times New Roman" w:hAnsi="Times New Roman" w:eastAsia="方正仿宋_GBK"/>
                <w:sz w:val="30"/>
                <w:szCs w:val="30"/>
              </w:rPr>
              <w:t>3.14</w:t>
            </w:r>
          </w:p>
        </w:tc>
        <w:tc>
          <w:tcPr>
            <w:tcW w:w="1860" w:type="dxa"/>
            <w:vAlign w:val="center"/>
          </w:tcPr>
          <w:p w14:paraId="1E03093D">
            <w:pPr>
              <w:shd w:val="clear" w:color="auto" w:fill="FFFFFF"/>
              <w:ind w:firstLine="616"/>
              <w:rPr>
                <w:rFonts w:ascii="Times New Roman" w:hAnsi="Times New Roman" w:eastAsia="方正仿宋_GBK"/>
                <w:sz w:val="30"/>
                <w:szCs w:val="30"/>
              </w:rPr>
            </w:pPr>
            <w:r>
              <w:rPr>
                <w:rFonts w:ascii="Times New Roman" w:hAnsi="Times New Roman" w:eastAsia="方正仿宋_GBK"/>
                <w:sz w:val="30"/>
                <w:szCs w:val="30"/>
              </w:rPr>
              <w:t>3.14</w:t>
            </w:r>
          </w:p>
        </w:tc>
        <w:tc>
          <w:tcPr>
            <w:tcW w:w="1840" w:type="dxa"/>
            <w:vAlign w:val="center"/>
          </w:tcPr>
          <w:p w14:paraId="3D245F8A">
            <w:pPr>
              <w:shd w:val="clear" w:color="auto" w:fill="FFFFFF"/>
              <w:ind w:firstLine="616"/>
              <w:rPr>
                <w:rFonts w:ascii="Times New Roman" w:hAnsi="Times New Roman" w:eastAsia="方正仿宋_GBK"/>
                <w:sz w:val="30"/>
                <w:szCs w:val="30"/>
              </w:rPr>
            </w:pPr>
            <w:r>
              <w:rPr>
                <w:rFonts w:ascii="Times New Roman" w:hAnsi="Times New Roman" w:eastAsia="方正仿宋_GBK"/>
                <w:sz w:val="30"/>
                <w:szCs w:val="30"/>
              </w:rPr>
              <w:t>100%</w:t>
            </w:r>
          </w:p>
        </w:tc>
      </w:tr>
      <w:tr w14:paraId="49ABC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7" w:type="dxa"/>
            <w:vAlign w:val="center"/>
          </w:tcPr>
          <w:p w14:paraId="2B4D0E11">
            <w:pPr>
              <w:shd w:val="clear" w:color="auto" w:fill="FFFFFF"/>
              <w:ind w:firstLine="616"/>
              <w:rPr>
                <w:rFonts w:ascii="Times New Roman" w:hAnsi="Times New Roman" w:eastAsia="方正仿宋_GBK"/>
                <w:sz w:val="30"/>
                <w:szCs w:val="30"/>
              </w:rPr>
            </w:pPr>
            <w:r>
              <w:rPr>
                <w:rFonts w:ascii="Times New Roman" w:hAnsi="Times New Roman" w:eastAsia="方正仿宋_GBK"/>
                <w:sz w:val="30"/>
                <w:szCs w:val="30"/>
              </w:rPr>
              <w:t>3.公务接待费</w:t>
            </w:r>
          </w:p>
        </w:tc>
        <w:tc>
          <w:tcPr>
            <w:tcW w:w="2270" w:type="dxa"/>
            <w:vAlign w:val="center"/>
          </w:tcPr>
          <w:p w14:paraId="0A11760A">
            <w:pPr>
              <w:shd w:val="clear" w:color="auto" w:fill="FFFFFF"/>
              <w:ind w:firstLine="616"/>
              <w:rPr>
                <w:rFonts w:ascii="Times New Roman" w:hAnsi="Times New Roman" w:eastAsia="方正仿宋_GBK"/>
                <w:sz w:val="30"/>
                <w:szCs w:val="30"/>
              </w:rPr>
            </w:pPr>
            <w:r>
              <w:rPr>
                <w:rFonts w:ascii="Times New Roman" w:hAnsi="Times New Roman" w:eastAsia="方正仿宋_GBK"/>
                <w:sz w:val="30"/>
                <w:szCs w:val="30"/>
              </w:rPr>
              <w:t>0.48</w:t>
            </w:r>
          </w:p>
        </w:tc>
        <w:tc>
          <w:tcPr>
            <w:tcW w:w="1860" w:type="dxa"/>
            <w:vAlign w:val="center"/>
          </w:tcPr>
          <w:p w14:paraId="67C78553">
            <w:pPr>
              <w:shd w:val="clear" w:color="auto" w:fill="FFFFFF"/>
              <w:ind w:firstLine="616"/>
              <w:rPr>
                <w:rFonts w:ascii="Times New Roman" w:hAnsi="Times New Roman" w:eastAsia="方正仿宋_GBK"/>
                <w:sz w:val="30"/>
                <w:szCs w:val="30"/>
              </w:rPr>
            </w:pPr>
            <w:r>
              <w:rPr>
                <w:rFonts w:ascii="Times New Roman" w:hAnsi="Times New Roman" w:eastAsia="方正仿宋_GBK"/>
                <w:sz w:val="30"/>
                <w:szCs w:val="30"/>
              </w:rPr>
              <w:t>0.48</w:t>
            </w:r>
          </w:p>
        </w:tc>
        <w:tc>
          <w:tcPr>
            <w:tcW w:w="1840" w:type="dxa"/>
            <w:vAlign w:val="center"/>
          </w:tcPr>
          <w:p w14:paraId="0D13C1E7">
            <w:pPr>
              <w:shd w:val="clear" w:color="auto" w:fill="FFFFFF"/>
              <w:ind w:firstLine="616"/>
              <w:rPr>
                <w:rFonts w:ascii="Times New Roman" w:hAnsi="Times New Roman" w:eastAsia="方正仿宋_GBK"/>
                <w:sz w:val="30"/>
                <w:szCs w:val="30"/>
              </w:rPr>
            </w:pPr>
            <w:r>
              <w:rPr>
                <w:rFonts w:ascii="Times New Roman" w:hAnsi="Times New Roman" w:eastAsia="方正仿宋_GBK"/>
                <w:sz w:val="30"/>
                <w:szCs w:val="30"/>
              </w:rPr>
              <w:t>100%</w:t>
            </w:r>
          </w:p>
        </w:tc>
      </w:tr>
      <w:tr w14:paraId="609EB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7" w:type="dxa"/>
            <w:vAlign w:val="center"/>
          </w:tcPr>
          <w:p w14:paraId="6069E54D">
            <w:pPr>
              <w:shd w:val="clear" w:color="auto" w:fill="FFFFFF"/>
              <w:ind w:firstLine="616"/>
              <w:rPr>
                <w:rFonts w:ascii="Times New Roman" w:hAnsi="Times New Roman" w:eastAsia="方正仿宋_GBK"/>
                <w:sz w:val="30"/>
                <w:szCs w:val="30"/>
              </w:rPr>
            </w:pPr>
            <w:r>
              <w:rPr>
                <w:rFonts w:ascii="Times New Roman" w:hAnsi="Times New Roman" w:eastAsia="方正仿宋_GBK"/>
                <w:sz w:val="30"/>
                <w:szCs w:val="30"/>
              </w:rPr>
              <w:t>合计</w:t>
            </w:r>
          </w:p>
        </w:tc>
        <w:tc>
          <w:tcPr>
            <w:tcW w:w="2270" w:type="dxa"/>
            <w:vAlign w:val="center"/>
          </w:tcPr>
          <w:p w14:paraId="002C8997">
            <w:pPr>
              <w:shd w:val="clear" w:color="auto" w:fill="FFFFFF"/>
              <w:ind w:firstLine="616"/>
              <w:rPr>
                <w:rFonts w:ascii="Times New Roman" w:hAnsi="Times New Roman" w:eastAsia="方正仿宋_GBK"/>
                <w:sz w:val="30"/>
                <w:szCs w:val="30"/>
              </w:rPr>
            </w:pPr>
            <w:r>
              <w:rPr>
                <w:rFonts w:ascii="Times New Roman" w:hAnsi="Times New Roman" w:eastAsia="方正仿宋_GBK"/>
                <w:sz w:val="30"/>
                <w:szCs w:val="30"/>
              </w:rPr>
              <w:t>7.73</w:t>
            </w:r>
          </w:p>
        </w:tc>
        <w:tc>
          <w:tcPr>
            <w:tcW w:w="1860" w:type="dxa"/>
            <w:vAlign w:val="center"/>
          </w:tcPr>
          <w:p w14:paraId="0BEC72CF">
            <w:pPr>
              <w:shd w:val="clear" w:color="auto" w:fill="FFFFFF"/>
              <w:ind w:firstLine="616"/>
              <w:rPr>
                <w:rFonts w:ascii="Times New Roman" w:hAnsi="Times New Roman" w:eastAsia="方正仿宋_GBK"/>
                <w:sz w:val="30"/>
                <w:szCs w:val="30"/>
              </w:rPr>
            </w:pPr>
            <w:r>
              <w:rPr>
                <w:rFonts w:ascii="Times New Roman" w:hAnsi="Times New Roman" w:eastAsia="方正仿宋_GBK"/>
                <w:sz w:val="30"/>
                <w:szCs w:val="30"/>
              </w:rPr>
              <w:t>7.73</w:t>
            </w:r>
          </w:p>
        </w:tc>
        <w:tc>
          <w:tcPr>
            <w:tcW w:w="1840" w:type="dxa"/>
            <w:vAlign w:val="center"/>
          </w:tcPr>
          <w:p w14:paraId="6581F00A">
            <w:pPr>
              <w:shd w:val="clear" w:color="auto" w:fill="FFFFFF"/>
              <w:ind w:firstLine="616"/>
              <w:rPr>
                <w:rFonts w:ascii="Times New Roman" w:hAnsi="Times New Roman" w:eastAsia="方正仿宋_GBK"/>
                <w:sz w:val="30"/>
                <w:szCs w:val="30"/>
              </w:rPr>
            </w:pPr>
            <w:r>
              <w:rPr>
                <w:rFonts w:ascii="Times New Roman" w:hAnsi="Times New Roman" w:eastAsia="方正仿宋_GBK"/>
                <w:sz w:val="30"/>
                <w:szCs w:val="30"/>
              </w:rPr>
              <w:t>100%</w:t>
            </w:r>
          </w:p>
        </w:tc>
      </w:tr>
    </w:tbl>
    <w:p w14:paraId="36A16598">
      <w:pPr>
        <w:spacing w:line="600" w:lineRule="exact"/>
        <w:ind w:firstLine="659"/>
        <w:rPr>
          <w:rFonts w:ascii="Times New Roman" w:hAnsi="Times New Roman" w:eastAsia="方正仿宋_GBK"/>
          <w:b/>
        </w:rPr>
      </w:pPr>
      <w:r>
        <w:rPr>
          <w:rFonts w:ascii="Times New Roman" w:hAnsi="Times New Roman" w:eastAsia="方正仿宋_GBK"/>
          <w:b/>
        </w:rPr>
        <w:t>3. 专项资金情况</w:t>
      </w:r>
      <w:bookmarkEnd w:id="12"/>
    </w:p>
    <w:p w14:paraId="443F2FA4">
      <w:pPr>
        <w:spacing w:line="600" w:lineRule="exact"/>
        <w:ind w:firstLine="656"/>
        <w:rPr>
          <w:rFonts w:ascii="Times New Roman" w:hAnsi="Times New Roman" w:eastAsia="方正仿宋_GBK"/>
        </w:rPr>
      </w:pPr>
      <w:r>
        <w:rPr>
          <w:rFonts w:ascii="Times New Roman" w:hAnsi="Times New Roman" w:eastAsia="方正仿宋_GBK"/>
        </w:rPr>
        <w:t>2025年南京市妇女联合会预算共涉及2个专项资金预算安排，年初预算安排550万元，调整后预算数531.3万元，实际支出531.3万元（其中转移支付363.75万元），预算执行率100%。详情见表 3。</w:t>
      </w:r>
    </w:p>
    <w:p w14:paraId="19B60591">
      <w:pPr>
        <w:spacing w:line="600" w:lineRule="exact"/>
        <w:ind w:firstLine="328" w:firstLineChars="100"/>
        <w:rPr>
          <w:rFonts w:ascii="Times New Roman" w:hAnsi="Times New Roman" w:eastAsia="方正仿宋_GBK"/>
          <w:bCs/>
        </w:rPr>
      </w:pPr>
      <w:r>
        <w:rPr>
          <w:rFonts w:ascii="Times New Roman" w:hAnsi="Times New Roman" w:eastAsia="方正仿宋_GBK"/>
          <w:bCs/>
        </w:rPr>
        <w:t>表3 2025年南京市妇女联合会专项资金预算安排与支出情况</w:t>
      </w:r>
    </w:p>
    <w:p w14:paraId="00B033A3">
      <w:pPr>
        <w:ind w:firstLine="656"/>
        <w:jc w:val="right"/>
        <w:rPr>
          <w:rFonts w:ascii="Times New Roman" w:hAnsi="Times New Roman"/>
          <w:color w:val="000000"/>
          <w:szCs w:val="32"/>
        </w:rPr>
      </w:pPr>
      <w:r>
        <w:rPr>
          <w:rFonts w:ascii="Times New Roman" w:hAnsi="Times New Roman"/>
          <w:color w:val="000000"/>
          <w:szCs w:val="32"/>
        </w:rPr>
        <w:t>单位：万元</w:t>
      </w:r>
    </w:p>
    <w:tbl>
      <w:tblPr>
        <w:tblStyle w:val="17"/>
        <w:tblW w:w="0" w:type="auto"/>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50"/>
        <w:gridCol w:w="1283"/>
        <w:gridCol w:w="1200"/>
        <w:gridCol w:w="1217"/>
        <w:gridCol w:w="1195"/>
      </w:tblGrid>
      <w:tr w14:paraId="635E1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4450" w:type="dxa"/>
            <w:vAlign w:val="center"/>
          </w:tcPr>
          <w:p w14:paraId="123C7779">
            <w:pPr>
              <w:ind w:firstLine="0" w:firstLineChars="0"/>
              <w:jc w:val="center"/>
              <w:rPr>
                <w:rFonts w:ascii="Times New Roman" w:hAnsi="Times New Roman" w:eastAsia="方正仿宋_GBK"/>
                <w:color w:val="000000"/>
                <w:sz w:val="30"/>
                <w:szCs w:val="30"/>
              </w:rPr>
            </w:pPr>
            <w:r>
              <w:rPr>
                <w:rFonts w:ascii="Times New Roman" w:hAnsi="Times New Roman" w:eastAsia="方正仿宋_GBK"/>
                <w:color w:val="000000"/>
                <w:sz w:val="30"/>
                <w:szCs w:val="30"/>
              </w:rPr>
              <w:t>项目名称</w:t>
            </w:r>
          </w:p>
        </w:tc>
        <w:tc>
          <w:tcPr>
            <w:tcW w:w="1283" w:type="dxa"/>
            <w:vAlign w:val="center"/>
          </w:tcPr>
          <w:p w14:paraId="69320FD3">
            <w:pPr>
              <w:ind w:firstLine="0" w:firstLineChars="0"/>
              <w:jc w:val="center"/>
              <w:rPr>
                <w:rFonts w:ascii="Times New Roman" w:hAnsi="Times New Roman" w:eastAsia="方正仿宋_GBK"/>
                <w:color w:val="000000"/>
                <w:sz w:val="30"/>
                <w:szCs w:val="30"/>
              </w:rPr>
            </w:pPr>
            <w:r>
              <w:rPr>
                <w:rFonts w:ascii="Times New Roman" w:hAnsi="Times New Roman" w:eastAsia="方正仿宋_GBK"/>
                <w:color w:val="000000"/>
                <w:sz w:val="30"/>
                <w:szCs w:val="30"/>
              </w:rPr>
              <w:t>预算安排数</w:t>
            </w:r>
          </w:p>
        </w:tc>
        <w:tc>
          <w:tcPr>
            <w:tcW w:w="1200" w:type="dxa"/>
            <w:vAlign w:val="center"/>
          </w:tcPr>
          <w:p w14:paraId="476B4748">
            <w:pPr>
              <w:ind w:firstLine="0" w:firstLineChars="0"/>
              <w:jc w:val="center"/>
              <w:rPr>
                <w:rFonts w:ascii="Times New Roman" w:hAnsi="Times New Roman" w:eastAsia="方正仿宋_GBK"/>
                <w:color w:val="000000"/>
                <w:sz w:val="30"/>
                <w:szCs w:val="30"/>
              </w:rPr>
            </w:pPr>
            <w:r>
              <w:rPr>
                <w:rFonts w:ascii="Times New Roman" w:hAnsi="Times New Roman" w:eastAsia="方正仿宋_GBK"/>
                <w:color w:val="000000"/>
                <w:sz w:val="30"/>
                <w:szCs w:val="30"/>
              </w:rPr>
              <w:t>调整后预算数</w:t>
            </w:r>
          </w:p>
        </w:tc>
        <w:tc>
          <w:tcPr>
            <w:tcW w:w="1217" w:type="dxa"/>
            <w:vAlign w:val="center"/>
          </w:tcPr>
          <w:p w14:paraId="3BF57A56">
            <w:pPr>
              <w:ind w:firstLine="0" w:firstLineChars="0"/>
              <w:jc w:val="center"/>
              <w:rPr>
                <w:rFonts w:ascii="Times New Roman" w:hAnsi="Times New Roman" w:eastAsia="方正仿宋_GBK"/>
                <w:color w:val="000000"/>
                <w:sz w:val="30"/>
                <w:szCs w:val="30"/>
              </w:rPr>
            </w:pPr>
            <w:r>
              <w:rPr>
                <w:rFonts w:ascii="Times New Roman" w:hAnsi="Times New Roman" w:eastAsia="方正仿宋_GBK"/>
                <w:color w:val="000000"/>
                <w:sz w:val="30"/>
                <w:szCs w:val="30"/>
              </w:rPr>
              <w:t>实际支出数</w:t>
            </w:r>
          </w:p>
        </w:tc>
        <w:tc>
          <w:tcPr>
            <w:tcW w:w="1195" w:type="dxa"/>
            <w:vAlign w:val="center"/>
          </w:tcPr>
          <w:p w14:paraId="5B0ACD60">
            <w:pPr>
              <w:ind w:firstLine="0" w:firstLineChars="0"/>
              <w:jc w:val="center"/>
              <w:rPr>
                <w:rFonts w:ascii="Times New Roman" w:hAnsi="Times New Roman" w:eastAsia="方正仿宋_GBK"/>
                <w:color w:val="000000"/>
                <w:sz w:val="30"/>
                <w:szCs w:val="30"/>
              </w:rPr>
            </w:pPr>
            <w:r>
              <w:rPr>
                <w:rFonts w:ascii="Times New Roman" w:hAnsi="Times New Roman" w:eastAsia="方正仿宋_GBK"/>
                <w:color w:val="000000"/>
                <w:sz w:val="30"/>
                <w:szCs w:val="30"/>
              </w:rPr>
              <w:t>预算执行率</w:t>
            </w:r>
          </w:p>
        </w:tc>
      </w:tr>
      <w:tr w14:paraId="0543F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0" w:type="dxa"/>
            <w:vAlign w:val="center"/>
          </w:tcPr>
          <w:p w14:paraId="7EEBE007">
            <w:pPr>
              <w:ind w:firstLine="0" w:firstLineChars="0"/>
              <w:jc w:val="center"/>
              <w:rPr>
                <w:rFonts w:ascii="Times New Roman" w:hAnsi="Times New Roman" w:eastAsia="方正仿宋_GBK"/>
                <w:color w:val="000000"/>
                <w:sz w:val="30"/>
                <w:szCs w:val="30"/>
              </w:rPr>
            </w:pPr>
            <w:r>
              <w:rPr>
                <w:rFonts w:ascii="Times New Roman" w:hAnsi="Times New Roman" w:eastAsia="方正仿宋_GBK"/>
                <w:color w:val="000000"/>
                <w:sz w:val="30"/>
                <w:szCs w:val="30"/>
              </w:rPr>
              <w:t>市妇联女性创业就业扶持专项</w:t>
            </w:r>
          </w:p>
        </w:tc>
        <w:tc>
          <w:tcPr>
            <w:tcW w:w="1283" w:type="dxa"/>
            <w:vAlign w:val="center"/>
          </w:tcPr>
          <w:p w14:paraId="3DF4CE2B">
            <w:pPr>
              <w:ind w:firstLine="0" w:firstLineChars="0"/>
              <w:jc w:val="center"/>
              <w:rPr>
                <w:rFonts w:ascii="Times New Roman" w:hAnsi="Times New Roman" w:eastAsia="方正仿宋_GBK"/>
                <w:color w:val="000000"/>
                <w:sz w:val="30"/>
                <w:szCs w:val="30"/>
              </w:rPr>
            </w:pPr>
            <w:r>
              <w:rPr>
                <w:rFonts w:ascii="Times New Roman" w:hAnsi="Times New Roman" w:eastAsia="方正仿宋_GBK"/>
                <w:color w:val="000000"/>
                <w:sz w:val="30"/>
                <w:szCs w:val="30"/>
              </w:rPr>
              <w:t>190</w:t>
            </w:r>
          </w:p>
        </w:tc>
        <w:tc>
          <w:tcPr>
            <w:tcW w:w="1200" w:type="dxa"/>
            <w:vAlign w:val="center"/>
          </w:tcPr>
          <w:p w14:paraId="748BADB4">
            <w:pPr>
              <w:ind w:firstLine="0" w:firstLineChars="0"/>
              <w:jc w:val="center"/>
              <w:rPr>
                <w:rFonts w:ascii="Times New Roman" w:hAnsi="Times New Roman" w:eastAsia="方正仿宋_GBK"/>
                <w:color w:val="000000"/>
                <w:sz w:val="30"/>
                <w:szCs w:val="30"/>
              </w:rPr>
            </w:pPr>
            <w:r>
              <w:rPr>
                <w:rFonts w:ascii="Times New Roman" w:hAnsi="Times New Roman" w:eastAsia="方正仿宋_GBK"/>
                <w:color w:val="000000"/>
                <w:sz w:val="30"/>
                <w:szCs w:val="30"/>
              </w:rPr>
              <w:t>171.3</w:t>
            </w:r>
          </w:p>
        </w:tc>
        <w:tc>
          <w:tcPr>
            <w:tcW w:w="1217" w:type="dxa"/>
            <w:vAlign w:val="center"/>
          </w:tcPr>
          <w:p w14:paraId="38707E09">
            <w:pPr>
              <w:ind w:firstLine="0" w:firstLineChars="0"/>
              <w:jc w:val="center"/>
              <w:rPr>
                <w:rFonts w:ascii="Times New Roman" w:hAnsi="Times New Roman" w:eastAsia="方正仿宋_GBK"/>
                <w:color w:val="000000"/>
                <w:sz w:val="30"/>
                <w:szCs w:val="30"/>
              </w:rPr>
            </w:pPr>
            <w:r>
              <w:rPr>
                <w:rFonts w:ascii="Times New Roman" w:hAnsi="Times New Roman" w:eastAsia="方正仿宋_GBK"/>
                <w:color w:val="000000"/>
                <w:sz w:val="30"/>
                <w:szCs w:val="30"/>
              </w:rPr>
              <w:t>171.3</w:t>
            </w:r>
          </w:p>
        </w:tc>
        <w:tc>
          <w:tcPr>
            <w:tcW w:w="1195" w:type="dxa"/>
            <w:vAlign w:val="center"/>
          </w:tcPr>
          <w:p w14:paraId="6A208236">
            <w:pPr>
              <w:ind w:firstLine="0" w:firstLineChars="0"/>
              <w:jc w:val="center"/>
              <w:rPr>
                <w:rFonts w:ascii="Times New Roman" w:hAnsi="Times New Roman" w:eastAsia="方正仿宋_GBK"/>
                <w:color w:val="000000"/>
                <w:sz w:val="30"/>
                <w:szCs w:val="30"/>
              </w:rPr>
            </w:pPr>
            <w:r>
              <w:rPr>
                <w:rFonts w:ascii="Times New Roman" w:hAnsi="Times New Roman" w:eastAsia="方正仿宋_GBK"/>
                <w:color w:val="000000"/>
                <w:sz w:val="30"/>
                <w:szCs w:val="30"/>
              </w:rPr>
              <w:t>100%</w:t>
            </w:r>
          </w:p>
        </w:tc>
      </w:tr>
      <w:tr w14:paraId="6AF72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0" w:type="dxa"/>
            <w:vAlign w:val="center"/>
          </w:tcPr>
          <w:p w14:paraId="77C833CF">
            <w:pPr>
              <w:ind w:firstLine="0" w:firstLineChars="0"/>
              <w:jc w:val="center"/>
              <w:rPr>
                <w:rFonts w:ascii="Times New Roman" w:hAnsi="Times New Roman" w:eastAsia="方正仿宋_GBK"/>
                <w:color w:val="000000"/>
                <w:sz w:val="30"/>
                <w:szCs w:val="30"/>
              </w:rPr>
            </w:pPr>
            <w:r>
              <w:rPr>
                <w:rFonts w:ascii="Times New Roman" w:hAnsi="Times New Roman" w:eastAsia="方正仿宋_GBK"/>
                <w:color w:val="000000"/>
                <w:sz w:val="30"/>
                <w:szCs w:val="30"/>
              </w:rPr>
              <w:t>南京市扶持基层妇联工作专项</w:t>
            </w:r>
          </w:p>
        </w:tc>
        <w:tc>
          <w:tcPr>
            <w:tcW w:w="1283" w:type="dxa"/>
            <w:vAlign w:val="center"/>
          </w:tcPr>
          <w:p w14:paraId="235D1AEF">
            <w:pPr>
              <w:ind w:firstLine="0" w:firstLineChars="0"/>
              <w:jc w:val="center"/>
              <w:rPr>
                <w:rFonts w:ascii="Times New Roman" w:hAnsi="Times New Roman" w:eastAsia="方正仿宋_GBK"/>
                <w:color w:val="000000"/>
                <w:sz w:val="30"/>
                <w:szCs w:val="30"/>
              </w:rPr>
            </w:pPr>
            <w:r>
              <w:rPr>
                <w:rFonts w:ascii="Times New Roman" w:hAnsi="Times New Roman" w:eastAsia="方正仿宋_GBK"/>
                <w:color w:val="000000"/>
                <w:sz w:val="30"/>
                <w:szCs w:val="30"/>
              </w:rPr>
              <w:t>360</w:t>
            </w:r>
          </w:p>
        </w:tc>
        <w:tc>
          <w:tcPr>
            <w:tcW w:w="1200" w:type="dxa"/>
            <w:vAlign w:val="center"/>
          </w:tcPr>
          <w:p w14:paraId="4A9C00C3">
            <w:pPr>
              <w:ind w:firstLine="0" w:firstLineChars="0"/>
              <w:jc w:val="center"/>
              <w:rPr>
                <w:rFonts w:ascii="Times New Roman" w:hAnsi="Times New Roman" w:eastAsia="方正仿宋_GBK"/>
                <w:color w:val="000000"/>
                <w:sz w:val="30"/>
                <w:szCs w:val="30"/>
              </w:rPr>
            </w:pPr>
            <w:r>
              <w:rPr>
                <w:rFonts w:ascii="Times New Roman" w:hAnsi="Times New Roman" w:eastAsia="方正仿宋_GBK"/>
                <w:color w:val="000000"/>
                <w:sz w:val="30"/>
                <w:szCs w:val="30"/>
              </w:rPr>
              <w:t>360</w:t>
            </w:r>
          </w:p>
        </w:tc>
        <w:tc>
          <w:tcPr>
            <w:tcW w:w="1217" w:type="dxa"/>
            <w:vAlign w:val="center"/>
          </w:tcPr>
          <w:p w14:paraId="4B679F19">
            <w:pPr>
              <w:ind w:firstLine="0" w:firstLineChars="0"/>
              <w:jc w:val="center"/>
              <w:rPr>
                <w:rFonts w:ascii="Times New Roman" w:hAnsi="Times New Roman" w:eastAsia="方正仿宋_GBK"/>
                <w:color w:val="000000"/>
                <w:sz w:val="30"/>
                <w:szCs w:val="30"/>
              </w:rPr>
            </w:pPr>
            <w:r>
              <w:rPr>
                <w:rFonts w:ascii="Times New Roman" w:hAnsi="Times New Roman" w:eastAsia="方正仿宋_GBK"/>
                <w:color w:val="000000"/>
                <w:sz w:val="30"/>
                <w:szCs w:val="30"/>
              </w:rPr>
              <w:t>360</w:t>
            </w:r>
          </w:p>
        </w:tc>
        <w:tc>
          <w:tcPr>
            <w:tcW w:w="1195" w:type="dxa"/>
            <w:vAlign w:val="center"/>
          </w:tcPr>
          <w:p w14:paraId="4FEDAACC">
            <w:pPr>
              <w:ind w:firstLine="0" w:firstLineChars="0"/>
              <w:jc w:val="center"/>
              <w:rPr>
                <w:rFonts w:ascii="Times New Roman" w:hAnsi="Times New Roman" w:eastAsia="方正仿宋_GBK"/>
                <w:color w:val="000000"/>
                <w:sz w:val="30"/>
                <w:szCs w:val="30"/>
              </w:rPr>
            </w:pPr>
            <w:r>
              <w:rPr>
                <w:rFonts w:ascii="Times New Roman" w:hAnsi="Times New Roman" w:eastAsia="方正仿宋_GBK"/>
                <w:color w:val="000000"/>
                <w:sz w:val="30"/>
                <w:szCs w:val="30"/>
              </w:rPr>
              <w:t>100%</w:t>
            </w:r>
          </w:p>
        </w:tc>
      </w:tr>
      <w:tr w14:paraId="33835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0" w:type="dxa"/>
            <w:vAlign w:val="center"/>
          </w:tcPr>
          <w:p w14:paraId="2952DB45">
            <w:pPr>
              <w:ind w:firstLine="0" w:firstLineChars="0"/>
              <w:jc w:val="center"/>
              <w:rPr>
                <w:rFonts w:ascii="Times New Roman" w:hAnsi="Times New Roman" w:eastAsia="方正仿宋_GBK"/>
                <w:color w:val="000000"/>
                <w:sz w:val="30"/>
                <w:szCs w:val="30"/>
              </w:rPr>
            </w:pPr>
            <w:r>
              <w:rPr>
                <w:rFonts w:ascii="Times New Roman" w:hAnsi="Times New Roman" w:eastAsia="方正仿宋_GBK"/>
                <w:color w:val="000000"/>
                <w:sz w:val="30"/>
                <w:szCs w:val="30"/>
              </w:rPr>
              <w:t>合计</w:t>
            </w:r>
          </w:p>
        </w:tc>
        <w:tc>
          <w:tcPr>
            <w:tcW w:w="1283" w:type="dxa"/>
            <w:vAlign w:val="center"/>
          </w:tcPr>
          <w:p w14:paraId="4DC7E3EE">
            <w:pPr>
              <w:ind w:firstLine="0" w:firstLineChars="0"/>
              <w:jc w:val="center"/>
              <w:rPr>
                <w:rFonts w:ascii="Times New Roman" w:hAnsi="Times New Roman" w:eastAsia="方正仿宋_GBK"/>
                <w:color w:val="000000"/>
                <w:sz w:val="30"/>
                <w:szCs w:val="30"/>
              </w:rPr>
            </w:pPr>
            <w:r>
              <w:rPr>
                <w:rFonts w:ascii="Times New Roman" w:hAnsi="Times New Roman" w:eastAsia="方正仿宋_GBK"/>
                <w:color w:val="000000"/>
                <w:sz w:val="30"/>
                <w:szCs w:val="30"/>
              </w:rPr>
              <w:t>550</w:t>
            </w:r>
          </w:p>
        </w:tc>
        <w:tc>
          <w:tcPr>
            <w:tcW w:w="1200" w:type="dxa"/>
            <w:vAlign w:val="center"/>
          </w:tcPr>
          <w:p w14:paraId="06820AD0">
            <w:pPr>
              <w:ind w:firstLine="0" w:firstLineChars="0"/>
              <w:jc w:val="center"/>
              <w:rPr>
                <w:rFonts w:ascii="Times New Roman" w:hAnsi="Times New Roman" w:eastAsia="方正仿宋_GBK"/>
                <w:color w:val="000000"/>
                <w:sz w:val="30"/>
                <w:szCs w:val="30"/>
              </w:rPr>
            </w:pPr>
            <w:r>
              <w:rPr>
                <w:rFonts w:ascii="Times New Roman" w:hAnsi="Times New Roman" w:eastAsia="方正仿宋_GBK"/>
                <w:color w:val="000000"/>
                <w:sz w:val="30"/>
                <w:szCs w:val="30"/>
              </w:rPr>
              <w:t>531.3</w:t>
            </w:r>
          </w:p>
        </w:tc>
        <w:tc>
          <w:tcPr>
            <w:tcW w:w="1217" w:type="dxa"/>
            <w:vAlign w:val="center"/>
          </w:tcPr>
          <w:p w14:paraId="01C9D6F2">
            <w:pPr>
              <w:ind w:firstLine="0" w:firstLineChars="0"/>
              <w:jc w:val="center"/>
              <w:rPr>
                <w:rFonts w:ascii="Times New Roman" w:hAnsi="Times New Roman" w:eastAsia="方正仿宋_GBK"/>
                <w:color w:val="000000"/>
                <w:sz w:val="30"/>
                <w:szCs w:val="30"/>
              </w:rPr>
            </w:pPr>
            <w:r>
              <w:rPr>
                <w:rFonts w:ascii="Times New Roman" w:hAnsi="Times New Roman" w:eastAsia="方正仿宋_GBK"/>
                <w:color w:val="000000"/>
                <w:sz w:val="30"/>
                <w:szCs w:val="30"/>
              </w:rPr>
              <w:t>531.3</w:t>
            </w:r>
          </w:p>
        </w:tc>
        <w:tc>
          <w:tcPr>
            <w:tcW w:w="1195" w:type="dxa"/>
            <w:vAlign w:val="center"/>
          </w:tcPr>
          <w:p w14:paraId="7C39CA86">
            <w:pPr>
              <w:ind w:firstLine="0" w:firstLineChars="0"/>
              <w:jc w:val="center"/>
              <w:rPr>
                <w:rFonts w:ascii="Times New Roman" w:hAnsi="Times New Roman" w:eastAsia="方正仿宋_GBK"/>
                <w:color w:val="000000"/>
                <w:sz w:val="30"/>
                <w:szCs w:val="30"/>
              </w:rPr>
            </w:pPr>
            <w:r>
              <w:rPr>
                <w:rFonts w:ascii="Times New Roman" w:hAnsi="Times New Roman" w:eastAsia="方正仿宋_GBK"/>
                <w:color w:val="000000"/>
                <w:sz w:val="30"/>
                <w:szCs w:val="30"/>
              </w:rPr>
              <w:t>100%</w:t>
            </w:r>
          </w:p>
        </w:tc>
      </w:tr>
    </w:tbl>
    <w:p w14:paraId="1EC1E372">
      <w:pPr>
        <w:spacing w:line="600" w:lineRule="exact"/>
        <w:ind w:firstLine="656"/>
        <w:rPr>
          <w:rFonts w:ascii="Times New Roman" w:hAnsi="Times New Roman" w:eastAsia="方正楷体_GBK"/>
        </w:rPr>
      </w:pPr>
      <w:bookmarkStart w:id="13" w:name="_Toc46246271"/>
      <w:bookmarkStart w:id="14" w:name="_Toc21673"/>
      <w:r>
        <w:rPr>
          <w:rFonts w:ascii="Times New Roman" w:hAnsi="Times New Roman" w:eastAsia="方正楷体_GBK"/>
        </w:rPr>
        <w:t>（三）部门（单位）绩效目标</w:t>
      </w:r>
      <w:bookmarkEnd w:id="13"/>
      <w:bookmarkEnd w:id="14"/>
    </w:p>
    <w:p w14:paraId="25B728A3">
      <w:pPr>
        <w:spacing w:line="600" w:lineRule="exact"/>
        <w:ind w:firstLine="659"/>
        <w:rPr>
          <w:rFonts w:ascii="Times New Roman" w:hAnsi="Times New Roman" w:eastAsia="方正仿宋_GBK"/>
          <w:b/>
          <w:bCs/>
        </w:rPr>
      </w:pPr>
      <w:bookmarkStart w:id="15" w:name="_Toc21094"/>
      <w:r>
        <w:rPr>
          <w:rFonts w:ascii="Times New Roman" w:hAnsi="Times New Roman" w:eastAsia="方正仿宋_GBK"/>
          <w:b/>
          <w:bCs/>
        </w:rPr>
        <w:t>1</w:t>
      </w:r>
      <w:r>
        <w:rPr>
          <w:rFonts w:ascii="Times New Roman" w:hAnsi="Times New Roman" w:eastAsia="方正仿宋_GBK"/>
          <w:b/>
        </w:rPr>
        <w:t xml:space="preserve">. </w:t>
      </w:r>
      <w:r>
        <w:rPr>
          <w:rFonts w:ascii="Times New Roman" w:hAnsi="Times New Roman" w:eastAsia="方正仿宋_GBK"/>
          <w:b/>
          <w:bCs/>
        </w:rPr>
        <w:t>中长期目标</w:t>
      </w:r>
      <w:bookmarkEnd w:id="15"/>
    </w:p>
    <w:p w14:paraId="39C22C46">
      <w:pPr>
        <w:spacing w:line="600" w:lineRule="exact"/>
        <w:ind w:firstLine="656"/>
        <w:rPr>
          <w:rFonts w:ascii="Times New Roman" w:hAnsi="Times New Roman" w:eastAsia="方正仿宋_GBK"/>
        </w:rPr>
      </w:pPr>
      <w:bookmarkStart w:id="16" w:name="_Toc28433"/>
      <w:r>
        <w:rPr>
          <w:rFonts w:ascii="Times New Roman" w:hAnsi="Times New Roman" w:eastAsia="方正仿宋_GBK"/>
        </w:rPr>
        <w:t>高举中国特色社会主义伟大旗帜，围绕中心、服务大局，保持和增强</w:t>
      </w:r>
      <w:r>
        <w:rPr>
          <w:rFonts w:hint="eastAsia" w:ascii="Times New Roman" w:hAnsi="Times New Roman" w:eastAsia="方正仿宋_GBK"/>
        </w:rPr>
        <w:t>政治性、先进性、群众性</w:t>
      </w:r>
      <w:r>
        <w:rPr>
          <w:rFonts w:ascii="Times New Roman" w:hAnsi="Times New Roman" w:eastAsia="方正仿宋_GBK"/>
        </w:rPr>
        <w:t>，持续强化引领服务联系，深化妇联改革和建设，有效发挥桥梁纽带作用，团结带领广大妇女为全面推进中国式现代化南京新实践贡献巾帼力量。</w:t>
      </w:r>
    </w:p>
    <w:p w14:paraId="70D6E00C">
      <w:pPr>
        <w:spacing w:line="600" w:lineRule="exact"/>
        <w:ind w:firstLine="656"/>
        <w:rPr>
          <w:rFonts w:ascii="Times New Roman" w:hAnsi="Times New Roman" w:eastAsia="方正仿宋_GBK"/>
        </w:rPr>
      </w:pPr>
      <w:r>
        <w:rPr>
          <w:rFonts w:ascii="Times New Roman" w:hAnsi="Times New Roman" w:eastAsia="方正仿宋_GBK"/>
        </w:rPr>
        <w:t>一是深入学习宣传贯彻党的二十大精神，激扬坚定不移听党话、矢志不渝跟党走的巾帼之志。坚持把学习宣传贯彻党的二十大精神作为首要政治任务，加强妇女思想政治引领，广泛开展巾帼大宣讲，推动习近平新时代中国特色社会主义思想深入妇女家庭。持续推动“学习强国”进家庭，加强妇联系统融媒体矩阵建设，发挥女性典型示范引领作用，引领广大妇女矢志不渝</w:t>
      </w:r>
      <w:r>
        <w:rPr>
          <w:rFonts w:hint="eastAsia" w:ascii="Times New Roman" w:hAnsi="Times New Roman" w:eastAsia="方正仿宋_GBK"/>
        </w:rPr>
        <w:t>听党话、跟党走</w:t>
      </w:r>
      <w:r>
        <w:rPr>
          <w:rFonts w:ascii="Times New Roman" w:hAnsi="Times New Roman" w:eastAsia="方正仿宋_GBK"/>
        </w:rPr>
        <w:t>。</w:t>
      </w:r>
    </w:p>
    <w:p w14:paraId="1CABD86B">
      <w:pPr>
        <w:spacing w:line="600" w:lineRule="exact"/>
        <w:ind w:firstLine="656"/>
        <w:rPr>
          <w:rFonts w:ascii="Times New Roman" w:hAnsi="Times New Roman" w:eastAsia="方正仿宋_GBK"/>
        </w:rPr>
      </w:pPr>
      <w:r>
        <w:rPr>
          <w:rFonts w:ascii="Times New Roman" w:hAnsi="Times New Roman" w:eastAsia="方正仿宋_GBK"/>
        </w:rPr>
        <w:t>二是把握新时代新征程目标任务，凝聚投身“强富美高”新南京现代化建设的蓬勃力量。深化科技创新巾帼行动，推动出台激励女性人才的政策举措，协同集聚科创发展女性人才资源，营造促进妇女全面发展的良好环境。深化乡村振兴巾帼行动，培树巾帼农业创新主体，打造美丽庭院，做强“宁姐月嫂”培训品牌。深化就业创业促进行动，持续开展妇女岗位建功活动，</w:t>
      </w:r>
      <w:r>
        <w:rPr>
          <w:rFonts w:hint="eastAsia" w:ascii="Times New Roman" w:hAnsi="Times New Roman" w:eastAsia="方正仿宋_GBK"/>
        </w:rPr>
        <w:t>实施</w:t>
      </w:r>
      <w:r>
        <w:rPr>
          <w:rFonts w:ascii="Times New Roman" w:hAnsi="Times New Roman" w:eastAsia="方正仿宋_GBK"/>
        </w:rPr>
        <w:t>“创享宁姐”服务</w:t>
      </w:r>
      <w:r>
        <w:rPr>
          <w:rFonts w:hint="eastAsia" w:ascii="Times New Roman" w:hAnsi="Times New Roman" w:eastAsia="方正仿宋_GBK"/>
        </w:rPr>
        <w:t>项目</w:t>
      </w:r>
      <w:r>
        <w:rPr>
          <w:rFonts w:ascii="Times New Roman" w:hAnsi="Times New Roman" w:eastAsia="方正仿宋_GBK"/>
        </w:rPr>
        <w:t>，联合开展“春风行动”、技能大赛等。</w:t>
      </w:r>
    </w:p>
    <w:p w14:paraId="180010F5">
      <w:pPr>
        <w:spacing w:line="600" w:lineRule="exact"/>
        <w:ind w:firstLine="656"/>
        <w:rPr>
          <w:rFonts w:ascii="Times New Roman" w:hAnsi="Times New Roman" w:eastAsia="方正仿宋_GBK"/>
        </w:rPr>
      </w:pPr>
      <w:r>
        <w:rPr>
          <w:rFonts w:ascii="Times New Roman" w:hAnsi="Times New Roman" w:eastAsia="方正仿宋_GBK"/>
        </w:rPr>
        <w:t>三是加强家庭家教家风建设，</w:t>
      </w:r>
      <w:r>
        <w:rPr>
          <w:rFonts w:hint="eastAsia" w:ascii="Times New Roman" w:hAnsi="Times New Roman" w:eastAsia="方正仿宋_GBK"/>
        </w:rPr>
        <w:t>推动社会主义核心价值观在家庭落地生根</w:t>
      </w:r>
      <w:r>
        <w:rPr>
          <w:rFonts w:ascii="Times New Roman" w:hAnsi="Times New Roman" w:eastAsia="方正仿宋_GBK"/>
        </w:rPr>
        <w:t>。深化“家家幸福安康工程”，统筹强化新时代家庭建设工作，打造综合平台，激励基层创新。构建家教服务新体系，推动健全学校家庭社会育人机制，形成满足多元需求、线上线下相融合的家教指导服务网络。持之以恒培育家风文明新风尚，打造“宁家美”系列品牌，深化</w:t>
      </w:r>
      <w:r>
        <w:rPr>
          <w:rFonts w:hint="eastAsia" w:ascii="Times New Roman" w:hAnsi="Times New Roman" w:eastAsia="方正仿宋_GBK"/>
        </w:rPr>
        <w:t>家风家教服务宣传活动</w:t>
      </w:r>
      <w:r>
        <w:rPr>
          <w:rFonts w:ascii="Times New Roman" w:hAnsi="Times New Roman" w:eastAsia="方正仿宋_GBK"/>
        </w:rPr>
        <w:t>。用心用情做好儿童工作，</w:t>
      </w:r>
      <w:r>
        <w:rPr>
          <w:rFonts w:hint="eastAsia" w:ascii="Times New Roman" w:hAnsi="Times New Roman" w:eastAsia="方正仿宋_GBK"/>
        </w:rPr>
        <w:t>开展儿童友好建设</w:t>
      </w:r>
      <w:r>
        <w:rPr>
          <w:rFonts w:ascii="Times New Roman" w:hAnsi="Times New Roman" w:eastAsia="方正仿宋_GBK"/>
        </w:rPr>
        <w:t>。</w:t>
      </w:r>
    </w:p>
    <w:p w14:paraId="25FB84CA">
      <w:pPr>
        <w:spacing w:line="600" w:lineRule="exact"/>
        <w:ind w:firstLine="656"/>
        <w:rPr>
          <w:rFonts w:ascii="Times New Roman" w:hAnsi="Times New Roman" w:eastAsia="方正仿宋_GBK"/>
        </w:rPr>
      </w:pPr>
      <w:r>
        <w:rPr>
          <w:rFonts w:ascii="Times New Roman" w:hAnsi="Times New Roman" w:eastAsia="方正仿宋_GBK"/>
        </w:rPr>
        <w:t>四是坚持以人民为中心的发展理念，在有效参与城市基层治理中增强妇女群众获得感满意度。推动男女平等基本国策宣传教育进学校、进机关、进企业、进社区、进家庭。推动妇女权益源头保障，根据新修订的《妇女权益保障法》推动出台南京地方条例，完善法规政策性别平等评估机制，促进完善政府主导、各方协同、社会参与的保障妇女权益工作机制。精准服务妇女家庭多样化需求，实施“宁姐暖心”关爱服务。</w:t>
      </w:r>
    </w:p>
    <w:p w14:paraId="01432872">
      <w:pPr>
        <w:spacing w:line="600" w:lineRule="exact"/>
        <w:ind w:firstLine="656"/>
        <w:rPr>
          <w:rFonts w:ascii="Times New Roman" w:hAnsi="Times New Roman" w:eastAsia="方正仿宋_GBK"/>
        </w:rPr>
      </w:pPr>
      <w:r>
        <w:rPr>
          <w:rFonts w:ascii="Times New Roman" w:hAnsi="Times New Roman" w:eastAsia="方正仿宋_GBK"/>
        </w:rPr>
        <w:t>五是增强政治性先进性群众性，深化改革和建设塑造新时代妇联组织卓越风貌。全面加强妇联组织党的建设，着力构建联系广泛、执行有力的妇女工作体系和妇联组织体系。沉底到边推动组织深扎根，加大在新经济组织、新社会组织、新就业群体组织覆盖力度。深化“基层妇联领头雁培训计划”，开展执委和代表履职“五薇”行动，锻造适应中国式现代化要求的妇联组织。</w:t>
      </w:r>
    </w:p>
    <w:p w14:paraId="38B457D8">
      <w:pPr>
        <w:spacing w:line="600" w:lineRule="exact"/>
        <w:ind w:firstLine="656"/>
        <w:rPr>
          <w:rFonts w:ascii="Times New Roman" w:hAnsi="Times New Roman" w:eastAsia="方正仿宋_GBK"/>
          <w:b/>
          <w:bCs/>
        </w:rPr>
      </w:pPr>
      <w:r>
        <w:rPr>
          <w:rFonts w:ascii="Times New Roman" w:hAnsi="Times New Roman" w:eastAsia="方正仿宋_GBK"/>
          <w:bCs/>
        </w:rPr>
        <w:t>2.</w:t>
      </w:r>
      <w:r>
        <w:rPr>
          <w:rFonts w:hint="eastAsia" w:ascii="Times New Roman" w:hAnsi="Times New Roman" w:eastAsia="方正仿宋_GBK"/>
          <w:bCs/>
        </w:rPr>
        <w:t xml:space="preserve"> </w:t>
      </w:r>
      <w:r>
        <w:rPr>
          <w:rFonts w:ascii="Times New Roman" w:hAnsi="Times New Roman" w:eastAsia="方正仿宋_GBK"/>
          <w:b/>
          <w:bCs/>
        </w:rPr>
        <w:t>年度绩效目标</w:t>
      </w:r>
      <w:bookmarkEnd w:id="16"/>
    </w:p>
    <w:p w14:paraId="69FB1FB0">
      <w:pPr>
        <w:spacing w:line="600" w:lineRule="exact"/>
        <w:ind w:firstLine="656"/>
        <w:rPr>
          <w:rFonts w:ascii="Times New Roman" w:hAnsi="Times New Roman" w:eastAsia="方正仿宋_GBK"/>
        </w:rPr>
      </w:pPr>
      <w:r>
        <w:rPr>
          <w:rFonts w:ascii="Times New Roman" w:hAnsi="Times New Roman" w:eastAsia="方正仿宋_GBK"/>
        </w:rPr>
        <w:t>根据南京市妇女联合会部门职责、年度主要工作任务、年度工作要点，2025年南京市妇女联合会的年度目标主要聚焦在加强女性思想引领和宣传教育、助推城乡妇女发展、维护妇女儿童权益、推进家庭家教家风建设以及推动妇联组织建设和阵地建设等方面。详见表4。</w:t>
      </w:r>
    </w:p>
    <w:p w14:paraId="3483367C">
      <w:pPr>
        <w:spacing w:line="600" w:lineRule="exact"/>
        <w:ind w:firstLine="656"/>
        <w:rPr>
          <w:rFonts w:ascii="Times New Roman" w:hAnsi="Times New Roman" w:eastAsia="方正仿宋_GBK"/>
        </w:rPr>
      </w:pPr>
      <w:r>
        <w:rPr>
          <w:rFonts w:ascii="Times New Roman" w:hAnsi="Times New Roman" w:eastAsia="方正仿宋_GBK"/>
        </w:rPr>
        <w:t>表4  2025年南京市妇女联合会年度目标</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2"/>
        <w:gridCol w:w="2862"/>
        <w:gridCol w:w="5400"/>
      </w:tblGrid>
      <w:tr w14:paraId="1D58C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738691BA">
            <w:pPr>
              <w:spacing w:line="600" w:lineRule="exact"/>
              <w:ind w:firstLine="0" w:firstLineChars="0"/>
              <w:jc w:val="center"/>
              <w:rPr>
                <w:rFonts w:ascii="Times New Roman" w:hAnsi="Times New Roman" w:eastAsia="方正黑体_GBK"/>
                <w:sz w:val="30"/>
                <w:szCs w:val="30"/>
              </w:rPr>
            </w:pPr>
            <w:r>
              <w:rPr>
                <w:rFonts w:ascii="Times New Roman" w:hAnsi="Times New Roman" w:eastAsia="方正黑体_GBK"/>
                <w:sz w:val="30"/>
                <w:szCs w:val="30"/>
              </w:rPr>
              <w:t>序号</w:t>
            </w:r>
          </w:p>
        </w:tc>
        <w:tc>
          <w:tcPr>
            <w:tcW w:w="2862" w:type="dxa"/>
            <w:vAlign w:val="center"/>
          </w:tcPr>
          <w:p w14:paraId="43E18C90">
            <w:pPr>
              <w:spacing w:line="600" w:lineRule="exact"/>
              <w:ind w:firstLine="0" w:firstLineChars="0"/>
              <w:jc w:val="center"/>
              <w:rPr>
                <w:rFonts w:ascii="Times New Roman" w:hAnsi="Times New Roman" w:eastAsia="方正黑体_GBK"/>
                <w:sz w:val="30"/>
                <w:szCs w:val="30"/>
              </w:rPr>
            </w:pPr>
            <w:r>
              <w:rPr>
                <w:rFonts w:ascii="Times New Roman" w:hAnsi="Times New Roman" w:eastAsia="方正黑体_GBK"/>
                <w:sz w:val="30"/>
                <w:szCs w:val="30"/>
              </w:rPr>
              <w:t>绩效目标</w:t>
            </w:r>
          </w:p>
        </w:tc>
        <w:tc>
          <w:tcPr>
            <w:tcW w:w="5400" w:type="dxa"/>
            <w:vAlign w:val="center"/>
          </w:tcPr>
          <w:p w14:paraId="5295C77F">
            <w:pPr>
              <w:spacing w:line="600" w:lineRule="exact"/>
              <w:ind w:firstLine="0" w:firstLineChars="0"/>
              <w:jc w:val="center"/>
              <w:rPr>
                <w:rFonts w:ascii="Times New Roman" w:hAnsi="Times New Roman" w:eastAsia="方正黑体_GBK"/>
                <w:sz w:val="30"/>
                <w:szCs w:val="30"/>
              </w:rPr>
            </w:pPr>
            <w:r>
              <w:rPr>
                <w:rFonts w:ascii="Times New Roman" w:hAnsi="Times New Roman" w:eastAsia="方正黑体_GBK"/>
                <w:sz w:val="30"/>
                <w:szCs w:val="30"/>
              </w:rPr>
              <w:t>目标具体内容</w:t>
            </w:r>
          </w:p>
        </w:tc>
      </w:tr>
      <w:tr w14:paraId="57B4D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1E907FCC">
            <w:pPr>
              <w:spacing w:line="600" w:lineRule="exact"/>
              <w:ind w:firstLine="308" w:firstLineChars="100"/>
              <w:jc w:val="center"/>
              <w:rPr>
                <w:rFonts w:ascii="Times New Roman" w:hAnsi="Times New Roman" w:eastAsia="方正仿宋_GBK"/>
                <w:sz w:val="30"/>
                <w:szCs w:val="30"/>
              </w:rPr>
            </w:pPr>
            <w:r>
              <w:rPr>
                <w:rFonts w:ascii="Times New Roman" w:hAnsi="Times New Roman" w:eastAsia="方正仿宋_GBK"/>
                <w:sz w:val="30"/>
                <w:szCs w:val="30"/>
              </w:rPr>
              <w:t>1</w:t>
            </w:r>
          </w:p>
        </w:tc>
        <w:tc>
          <w:tcPr>
            <w:tcW w:w="2862" w:type="dxa"/>
            <w:vAlign w:val="center"/>
          </w:tcPr>
          <w:p w14:paraId="757A7F20">
            <w:pPr>
              <w:spacing w:line="240" w:lineRule="auto"/>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加强女性思想引领和宣传教育</w:t>
            </w:r>
          </w:p>
        </w:tc>
        <w:tc>
          <w:tcPr>
            <w:tcW w:w="5400" w:type="dxa"/>
            <w:vAlign w:val="center"/>
          </w:tcPr>
          <w:p w14:paraId="1A0FA852">
            <w:pPr>
              <w:spacing w:line="440" w:lineRule="exact"/>
              <w:ind w:firstLine="0" w:firstLineChars="0"/>
              <w:jc w:val="left"/>
              <w:rPr>
                <w:rFonts w:ascii="Times New Roman" w:hAnsi="Times New Roman" w:eastAsia="方正仿宋_GBK"/>
                <w:sz w:val="30"/>
                <w:szCs w:val="30"/>
              </w:rPr>
            </w:pPr>
            <w:r>
              <w:rPr>
                <w:rFonts w:ascii="Times New Roman" w:hAnsi="Times New Roman" w:eastAsia="方正仿宋_GBK"/>
                <w:sz w:val="30"/>
                <w:szCs w:val="30"/>
              </w:rPr>
              <w:t>用好“成贤街43号”“最美宁姐”，开展特色宣传</w:t>
            </w:r>
            <w:r>
              <w:rPr>
                <w:rFonts w:hint="eastAsia" w:ascii="Times New Roman" w:hAnsi="Times New Roman" w:eastAsia="方正仿宋_GBK"/>
                <w:sz w:val="30"/>
                <w:szCs w:val="30"/>
                <w:lang w:val="en-US" w:eastAsia="zh-CN"/>
              </w:rPr>
              <w:t>30</w:t>
            </w:r>
            <w:r>
              <w:rPr>
                <w:rFonts w:ascii="Times New Roman" w:hAnsi="Times New Roman" w:eastAsia="方正仿宋_GBK"/>
                <w:sz w:val="30"/>
                <w:szCs w:val="30"/>
              </w:rPr>
              <w:t>次，选树推荐优秀女性典型，宣传女性典型数量50个。网上妇联用户数力争突破53万，“南京妇联”等新媒体平台线上阅读总量超过20万，在主流媒体发稿 50 篇以上。</w:t>
            </w:r>
          </w:p>
        </w:tc>
      </w:tr>
      <w:tr w14:paraId="0B8A9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7D768FCC">
            <w:pPr>
              <w:spacing w:line="600" w:lineRule="exact"/>
              <w:ind w:firstLine="308" w:firstLineChars="100"/>
              <w:jc w:val="center"/>
              <w:rPr>
                <w:rFonts w:ascii="Times New Roman" w:hAnsi="Times New Roman" w:eastAsia="方正仿宋_GBK"/>
                <w:sz w:val="30"/>
                <w:szCs w:val="30"/>
              </w:rPr>
            </w:pPr>
            <w:r>
              <w:rPr>
                <w:rFonts w:ascii="Times New Roman" w:hAnsi="Times New Roman" w:eastAsia="方正仿宋_GBK"/>
                <w:sz w:val="30"/>
                <w:szCs w:val="30"/>
              </w:rPr>
              <w:t>2</w:t>
            </w:r>
          </w:p>
        </w:tc>
        <w:tc>
          <w:tcPr>
            <w:tcW w:w="2862" w:type="dxa"/>
            <w:vAlign w:val="center"/>
          </w:tcPr>
          <w:p w14:paraId="1E52A5E5">
            <w:pPr>
              <w:spacing w:line="240" w:lineRule="auto"/>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助推城乡妇女发展</w:t>
            </w:r>
          </w:p>
        </w:tc>
        <w:tc>
          <w:tcPr>
            <w:tcW w:w="5400" w:type="dxa"/>
            <w:vAlign w:val="center"/>
          </w:tcPr>
          <w:p w14:paraId="1EC2BE87">
            <w:pPr>
              <w:spacing w:line="440" w:lineRule="exact"/>
              <w:ind w:firstLine="0" w:firstLineChars="0"/>
              <w:jc w:val="left"/>
              <w:rPr>
                <w:rFonts w:ascii="Times New Roman" w:hAnsi="Times New Roman" w:eastAsia="方正仿宋_GBK"/>
                <w:sz w:val="30"/>
                <w:szCs w:val="30"/>
              </w:rPr>
            </w:pPr>
            <w:r>
              <w:rPr>
                <w:rFonts w:ascii="Times New Roman" w:hAnsi="Times New Roman" w:eastAsia="方正仿宋_GBK"/>
                <w:sz w:val="30"/>
                <w:szCs w:val="30"/>
              </w:rPr>
              <w:t>打造“创享宁姐”巾帼创业品牌，实施市属高校和高新园区女性创新实践项目不少于18个；持续推进科技创新巾帼行动，开展巾帼建功主题和服务活动，开展“双学双比”“巾帼建功”扶持项目不少于20个；开展“宁姐月嫂”等技能培训，完善“宁姐月嫂”服务体系，年培训不少于500人次。</w:t>
            </w:r>
          </w:p>
        </w:tc>
      </w:tr>
      <w:tr w14:paraId="6A03E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3DEBAD1E">
            <w:pPr>
              <w:spacing w:line="600" w:lineRule="exact"/>
              <w:ind w:firstLine="308" w:firstLineChars="100"/>
              <w:jc w:val="center"/>
              <w:rPr>
                <w:rFonts w:ascii="Times New Roman" w:hAnsi="Times New Roman" w:eastAsia="方正仿宋_GBK"/>
                <w:sz w:val="30"/>
                <w:szCs w:val="30"/>
              </w:rPr>
            </w:pPr>
            <w:r>
              <w:rPr>
                <w:rFonts w:ascii="Times New Roman" w:hAnsi="Times New Roman" w:eastAsia="方正仿宋_GBK"/>
                <w:sz w:val="30"/>
                <w:szCs w:val="30"/>
              </w:rPr>
              <w:t>3</w:t>
            </w:r>
          </w:p>
        </w:tc>
        <w:tc>
          <w:tcPr>
            <w:tcW w:w="2862" w:type="dxa"/>
            <w:vAlign w:val="center"/>
          </w:tcPr>
          <w:p w14:paraId="43CD2FB8">
            <w:pPr>
              <w:spacing w:line="240" w:lineRule="auto"/>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维护妇女儿童权益</w:t>
            </w:r>
          </w:p>
        </w:tc>
        <w:tc>
          <w:tcPr>
            <w:tcW w:w="5400" w:type="dxa"/>
            <w:vAlign w:val="center"/>
          </w:tcPr>
          <w:p w14:paraId="0CCD6D14">
            <w:pPr>
              <w:spacing w:line="440" w:lineRule="exact"/>
              <w:ind w:firstLine="0" w:firstLineChars="0"/>
              <w:jc w:val="left"/>
              <w:rPr>
                <w:rFonts w:ascii="Times New Roman" w:hAnsi="Times New Roman" w:eastAsia="方正仿宋_GBK"/>
                <w:sz w:val="30"/>
                <w:szCs w:val="30"/>
              </w:rPr>
            </w:pPr>
            <w:r>
              <w:rPr>
                <w:rFonts w:ascii="Times New Roman" w:hAnsi="Times New Roman" w:eastAsia="方正仿宋_GBK"/>
                <w:sz w:val="30"/>
                <w:szCs w:val="30"/>
              </w:rPr>
              <w:t>推动施行《南京市妇女权益保障条例》，启动第十二届家庭学法竞赛，参与法规政策性别平等评估不少于10部；完成儿童友好城市建设三年行动计划目标任务，建成儿童友好街区8个；拓展小小民生观察员实践活动，培育小小民生观察员</w:t>
            </w:r>
            <w:r>
              <w:rPr>
                <w:rFonts w:hint="eastAsia" w:ascii="Times New Roman" w:hAnsi="Times New Roman" w:eastAsia="方正仿宋_GBK"/>
                <w:sz w:val="30"/>
                <w:szCs w:val="30"/>
              </w:rPr>
              <w:t>1</w:t>
            </w:r>
            <w:r>
              <w:rPr>
                <w:rFonts w:ascii="Times New Roman" w:hAnsi="Times New Roman" w:eastAsia="方正仿宋_GBK"/>
                <w:sz w:val="30"/>
                <w:szCs w:val="30"/>
              </w:rPr>
              <w:t>50人；完善妇女维权服务中心、12338 维权热线建设，全年提供线上线下服务不少于1500人次，提供个案服务不少于20人次；参与基层治理，进一步完善多机构协作、多元参与工作机制建设。</w:t>
            </w:r>
          </w:p>
        </w:tc>
      </w:tr>
      <w:tr w14:paraId="29C37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423E489F">
            <w:pPr>
              <w:spacing w:line="600" w:lineRule="exact"/>
              <w:ind w:firstLine="308" w:firstLineChars="100"/>
              <w:jc w:val="center"/>
              <w:rPr>
                <w:rFonts w:ascii="Times New Roman" w:hAnsi="Times New Roman" w:eastAsia="方正仿宋_GBK"/>
                <w:sz w:val="30"/>
                <w:szCs w:val="30"/>
              </w:rPr>
            </w:pPr>
            <w:r>
              <w:rPr>
                <w:rFonts w:ascii="Times New Roman" w:hAnsi="Times New Roman" w:eastAsia="方正仿宋_GBK"/>
                <w:sz w:val="30"/>
                <w:szCs w:val="30"/>
              </w:rPr>
              <w:t>4</w:t>
            </w:r>
          </w:p>
        </w:tc>
        <w:tc>
          <w:tcPr>
            <w:tcW w:w="2862" w:type="dxa"/>
            <w:vAlign w:val="center"/>
          </w:tcPr>
          <w:p w14:paraId="5C4B7BED">
            <w:pPr>
              <w:spacing w:line="240" w:lineRule="auto"/>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推进家庭家教家风建设</w:t>
            </w:r>
          </w:p>
        </w:tc>
        <w:tc>
          <w:tcPr>
            <w:tcW w:w="5400" w:type="dxa"/>
            <w:vAlign w:val="center"/>
          </w:tcPr>
          <w:p w14:paraId="639B3B73">
            <w:pPr>
              <w:spacing w:line="440" w:lineRule="exact"/>
              <w:ind w:firstLine="0" w:firstLineChars="0"/>
              <w:jc w:val="left"/>
              <w:rPr>
                <w:rFonts w:ascii="Times New Roman" w:hAnsi="Times New Roman" w:eastAsia="方正仿宋_GBK"/>
                <w:sz w:val="30"/>
                <w:szCs w:val="30"/>
              </w:rPr>
            </w:pPr>
            <w:r>
              <w:rPr>
                <w:rFonts w:ascii="Times New Roman" w:hAnsi="Times New Roman" w:eastAsia="方正仿宋_GBK"/>
                <w:sz w:val="30"/>
                <w:szCs w:val="30"/>
              </w:rPr>
              <w:t>深化清廉家风建设，打造省级新型婚育文化试点。组织巾帼志愿者开展各类公益服务，参与基层治理，扩大家风家教服务覆盖面；完善“宁姐慧学”家庭教育指导服务体系，拓展多形态家长学校，全年开展家教指导巡讲30场，打造“宁姐137空中课堂” 40期，公益研学活动服务儿童</w:t>
            </w:r>
            <w:r>
              <w:rPr>
                <w:rFonts w:hint="eastAsia" w:ascii="Times New Roman" w:hAnsi="Times New Roman" w:eastAsia="方正仿宋_GBK"/>
                <w:sz w:val="30"/>
                <w:szCs w:val="30"/>
              </w:rPr>
              <w:t>8</w:t>
            </w:r>
            <w:r>
              <w:rPr>
                <w:rFonts w:ascii="Times New Roman" w:hAnsi="Times New Roman" w:eastAsia="方正仿宋_GBK"/>
                <w:sz w:val="30"/>
                <w:szCs w:val="30"/>
              </w:rPr>
              <w:t>00人次。</w:t>
            </w:r>
          </w:p>
        </w:tc>
      </w:tr>
      <w:tr w14:paraId="58D67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5FEE3C26">
            <w:pPr>
              <w:spacing w:line="600" w:lineRule="exact"/>
              <w:ind w:firstLine="308" w:firstLineChars="100"/>
              <w:jc w:val="center"/>
              <w:rPr>
                <w:rFonts w:ascii="Times New Roman" w:hAnsi="Times New Roman" w:eastAsia="方正仿宋_GBK"/>
                <w:sz w:val="30"/>
                <w:szCs w:val="30"/>
              </w:rPr>
            </w:pPr>
            <w:r>
              <w:rPr>
                <w:rFonts w:ascii="Times New Roman" w:hAnsi="Times New Roman" w:eastAsia="方正仿宋_GBK"/>
                <w:sz w:val="30"/>
                <w:szCs w:val="30"/>
              </w:rPr>
              <w:t>5</w:t>
            </w:r>
          </w:p>
        </w:tc>
        <w:tc>
          <w:tcPr>
            <w:tcW w:w="2862" w:type="dxa"/>
            <w:vAlign w:val="center"/>
          </w:tcPr>
          <w:p w14:paraId="0C8BC2F2">
            <w:pPr>
              <w:spacing w:line="240" w:lineRule="auto"/>
              <w:ind w:firstLine="0" w:firstLineChars="0"/>
              <w:jc w:val="center"/>
              <w:rPr>
                <w:rFonts w:ascii="Times New Roman" w:hAnsi="Times New Roman" w:eastAsia="方正仿宋_GBK"/>
                <w:sz w:val="30"/>
                <w:szCs w:val="30"/>
              </w:rPr>
            </w:pPr>
            <w:r>
              <w:rPr>
                <w:rFonts w:ascii="Times New Roman" w:hAnsi="Times New Roman" w:eastAsia="方正仿宋_GBK"/>
                <w:sz w:val="30"/>
                <w:szCs w:val="30"/>
              </w:rPr>
              <w:t>推动妇联组织建设和阵地建设</w:t>
            </w:r>
          </w:p>
        </w:tc>
        <w:tc>
          <w:tcPr>
            <w:tcW w:w="5400" w:type="dxa"/>
            <w:vAlign w:val="center"/>
          </w:tcPr>
          <w:p w14:paraId="2D867D55">
            <w:pPr>
              <w:spacing w:line="440" w:lineRule="exact"/>
              <w:ind w:firstLine="0" w:firstLineChars="0"/>
              <w:jc w:val="left"/>
              <w:rPr>
                <w:rFonts w:ascii="Times New Roman" w:hAnsi="Times New Roman" w:eastAsia="方正仿宋_GBK"/>
                <w:sz w:val="30"/>
                <w:szCs w:val="30"/>
              </w:rPr>
            </w:pPr>
            <w:r>
              <w:rPr>
                <w:rFonts w:ascii="Times New Roman" w:hAnsi="Times New Roman" w:eastAsia="方正仿宋_GBK"/>
                <w:sz w:val="30"/>
                <w:szCs w:val="30"/>
              </w:rPr>
              <w:t>持续深化“三新”领域妇联组织建设，推动妇联组织和工作向新业态新就业群体覆盖，全市新建基层妇联组织40个，开展“宁姐暖新”公益服务</w:t>
            </w:r>
            <w:r>
              <w:rPr>
                <w:rFonts w:hint="eastAsia" w:ascii="Times New Roman" w:hAnsi="Times New Roman" w:eastAsia="方正仿宋_GBK"/>
                <w:sz w:val="30"/>
                <w:szCs w:val="30"/>
                <w:lang w:val="en-US" w:eastAsia="zh-CN"/>
              </w:rPr>
              <w:t>16</w:t>
            </w:r>
            <w:r>
              <w:rPr>
                <w:rFonts w:ascii="Times New Roman" w:hAnsi="Times New Roman" w:eastAsia="方正仿宋_GBK"/>
                <w:sz w:val="30"/>
                <w:szCs w:val="30"/>
              </w:rPr>
              <w:t>场；加强妇联干部队伍建设，深化“基层妇联领头雁培训计划”，开展执委和代表履职行动，全年组织妇联执委和团体交流活动不少于4场，对基层妇联干部和相关工作负责人等分类别集中开展培训，全年培训不少于230人次。</w:t>
            </w:r>
          </w:p>
        </w:tc>
      </w:tr>
    </w:tbl>
    <w:p w14:paraId="7F12426B">
      <w:pPr>
        <w:spacing w:line="600" w:lineRule="exact"/>
        <w:ind w:firstLine="656"/>
        <w:rPr>
          <w:rFonts w:ascii="Times New Roman" w:hAnsi="Times New Roman" w:eastAsia="方正黑体_GBK"/>
        </w:rPr>
      </w:pPr>
      <w:bookmarkStart w:id="17" w:name="_Toc178059780"/>
      <w:bookmarkStart w:id="18" w:name="_Toc14495"/>
      <w:bookmarkStart w:id="19" w:name="_Toc46246272"/>
      <w:r>
        <w:rPr>
          <w:rFonts w:ascii="Times New Roman" w:hAnsi="Times New Roman" w:eastAsia="方正黑体_GBK"/>
        </w:rPr>
        <w:t>二、评价结论</w:t>
      </w:r>
    </w:p>
    <w:p w14:paraId="246612F1">
      <w:pPr>
        <w:spacing w:line="600" w:lineRule="exact"/>
        <w:ind w:firstLine="656"/>
        <w:rPr>
          <w:rFonts w:ascii="Times New Roman" w:hAnsi="Times New Roman" w:eastAsia="方正楷体_GBK"/>
        </w:rPr>
      </w:pPr>
      <w:r>
        <w:rPr>
          <w:rFonts w:ascii="Times New Roman" w:hAnsi="Times New Roman" w:eastAsia="方正楷体_GBK"/>
        </w:rPr>
        <w:t>（一）评价对象与范围</w:t>
      </w:r>
      <w:bookmarkEnd w:id="17"/>
    </w:p>
    <w:p w14:paraId="02FE6961">
      <w:pPr>
        <w:spacing w:line="600" w:lineRule="exact"/>
        <w:ind w:firstLine="656"/>
        <w:rPr>
          <w:rFonts w:ascii="Times New Roman" w:hAnsi="Times New Roman" w:eastAsia="方正仿宋_GBK"/>
        </w:rPr>
      </w:pPr>
      <w:r>
        <w:rPr>
          <w:rFonts w:ascii="Times New Roman" w:hAnsi="Times New Roman" w:eastAsia="方正仿宋_GBK"/>
        </w:rPr>
        <w:t>本次绩效评价的对象为2025年度南京市妇女联合会机关部门整体预算支出及市级专项资金</w:t>
      </w:r>
      <w:r>
        <w:rPr>
          <w:rFonts w:hint="eastAsia" w:ascii="Times New Roman" w:hAnsi="Times New Roman" w:eastAsia="方正仿宋_GBK"/>
        </w:rPr>
        <w:t>，</w:t>
      </w:r>
      <w:r>
        <w:rPr>
          <w:rFonts w:ascii="Times New Roman" w:hAnsi="Times New Roman" w:eastAsia="方正仿宋_GBK"/>
        </w:rPr>
        <w:t>评价时段为2025年1月1日至12月31日。具体范围包括2025年度市妇联机关部门预算基本经费支出、项目经费支出及专项资金项目支出。</w:t>
      </w:r>
    </w:p>
    <w:p w14:paraId="74BF9C85">
      <w:pPr>
        <w:spacing w:line="600" w:lineRule="exact"/>
        <w:ind w:firstLine="656"/>
        <w:rPr>
          <w:rFonts w:ascii="Times New Roman" w:hAnsi="Times New Roman" w:eastAsia="方正楷体_GBK"/>
        </w:rPr>
      </w:pPr>
      <w:bookmarkStart w:id="20" w:name="_Toc178059781"/>
      <w:bookmarkStart w:id="21" w:name="_Toc157713194"/>
      <w:r>
        <w:rPr>
          <w:rFonts w:hint="eastAsia" w:ascii="Times New Roman" w:hAnsi="Times New Roman" w:eastAsia="方正楷体_GBK"/>
        </w:rPr>
        <w:t>（二）</w:t>
      </w:r>
      <w:r>
        <w:rPr>
          <w:rFonts w:ascii="Times New Roman" w:hAnsi="Times New Roman" w:eastAsia="方正楷体_GBK"/>
        </w:rPr>
        <w:t>绩效评价结论</w:t>
      </w:r>
    </w:p>
    <w:p w14:paraId="582A7652">
      <w:pPr>
        <w:spacing w:line="600" w:lineRule="exact"/>
        <w:ind w:firstLine="656"/>
        <w:rPr>
          <w:rFonts w:ascii="Times New Roman" w:hAnsi="Times New Roman" w:eastAsia="方正仿宋_GBK"/>
        </w:rPr>
      </w:pPr>
      <w:r>
        <w:rPr>
          <w:rFonts w:ascii="Times New Roman" w:hAnsi="Times New Roman" w:eastAsia="方正仿宋_GBK"/>
        </w:rPr>
        <w:t>根据年初工作规划和工作重点，2025 年度市妇联紧紧围绕市委、市政府的工作部署，积极履行职责，强化管理，较好地完成了本年度工作目标。同时，加强预算收支的管理，建立健全了内部管理制度，部门整体支出管理水平得到了提升。经客观评价，评价结果采取百分制，其中 90（含）—100 分为优、80（含）—90 分为良、60（含）—80 分为中、60 分以下为差。经综合评定，部门整体绩效评价结果为</w:t>
      </w:r>
      <w:r>
        <w:rPr>
          <w:rFonts w:hint="eastAsia" w:ascii="Times New Roman" w:hAnsi="Times New Roman" w:eastAsia="方正仿宋_GBK"/>
        </w:rPr>
        <w:t>99</w:t>
      </w:r>
      <w:r>
        <w:rPr>
          <w:rFonts w:ascii="Times New Roman" w:hAnsi="Times New Roman" w:eastAsia="方正仿宋_GBK"/>
        </w:rPr>
        <w:t>分，绩效等级为“优”。</w:t>
      </w:r>
    </w:p>
    <w:p w14:paraId="7E0DC046">
      <w:pPr>
        <w:spacing w:line="600" w:lineRule="exact"/>
        <w:ind w:firstLine="656"/>
        <w:rPr>
          <w:rFonts w:ascii="Times New Roman" w:hAnsi="Times New Roman" w:eastAsia="方正黑体_GBK"/>
        </w:rPr>
      </w:pPr>
      <w:r>
        <w:rPr>
          <w:rFonts w:ascii="Times New Roman" w:hAnsi="Times New Roman" w:eastAsia="方正黑体_GBK"/>
        </w:rPr>
        <w:t>三、部门履职成效</w:t>
      </w:r>
    </w:p>
    <w:p w14:paraId="3DA221DB">
      <w:pPr>
        <w:spacing w:line="600" w:lineRule="exact"/>
        <w:ind w:firstLine="656"/>
        <w:rPr>
          <w:rFonts w:ascii="Times New Roman" w:hAnsi="Times New Roman" w:eastAsia="方正仿宋_GBK"/>
        </w:rPr>
      </w:pPr>
      <w:r>
        <w:rPr>
          <w:rFonts w:ascii="Times New Roman" w:hAnsi="Times New Roman" w:eastAsia="方正仿宋_GBK"/>
        </w:rPr>
        <w:t>2025年是“十四五”规划收官、全市妇联系统改革提质攻坚之年。在市委领导下，市妇联以习近平新时代中国特色社会主义思想为指导，贯彻党的二十大及二十届三中、四中全会精神，立足引领服务联系职能，切实增进妇女儿童及家庭福祉。</w:t>
      </w:r>
      <w:r>
        <w:rPr>
          <w:rFonts w:hint="eastAsia" w:ascii="Times New Roman" w:hAnsi="Times New Roman" w:eastAsia="方正仿宋_GBK"/>
        </w:rPr>
        <w:t>先后</w:t>
      </w:r>
      <w:r>
        <w:rPr>
          <w:rFonts w:ascii="Times New Roman" w:hAnsi="Times New Roman" w:eastAsia="方正仿宋_GBK"/>
        </w:rPr>
        <w:t>获评江苏省民族团结进步模范集体、《中国妇女报》舆论阵地突出贡献单位，多项工作形成全国示范经验</w:t>
      </w:r>
      <w:r>
        <w:rPr>
          <w:rFonts w:hint="eastAsia" w:ascii="Times New Roman" w:hAnsi="Times New Roman" w:eastAsia="方正仿宋_GBK"/>
        </w:rPr>
        <w:t>，</w:t>
      </w:r>
      <w:r>
        <w:rPr>
          <w:rFonts w:ascii="Times New Roman" w:hAnsi="Times New Roman" w:eastAsia="方正仿宋_GBK"/>
        </w:rPr>
        <w:t>《以“家力量”助推特大城市现代化治理水平提升》获评全国妇联改革创新优秀案例，江北新区2个儿童友好街区入选全国可复制清单，反家暴警情联动平台、“宁姐工作坊”分别获评全国基层治理示范项目、巾帼建言法律意见征集点</w:t>
      </w:r>
      <w:r>
        <w:rPr>
          <w:rFonts w:hint="eastAsia" w:ascii="Times New Roman" w:hAnsi="Times New Roman" w:eastAsia="方正仿宋_GBK"/>
        </w:rPr>
        <w:t>，</w:t>
      </w:r>
      <w:r>
        <w:rPr>
          <w:rFonts w:ascii="Times New Roman" w:hAnsi="Times New Roman" w:eastAsia="方正仿宋_GBK"/>
        </w:rPr>
        <w:t>“三新”妇联、互联网妇联经验刊发于《中国妇运》《中国妇女报》，清廉家风情景课程获《中国纪检监察报》报道。《南京市妇女权益保障条例》于2025年1月1日正式实施</w:t>
      </w:r>
      <w:r>
        <w:rPr>
          <w:rFonts w:hint="eastAsia" w:ascii="Times New Roman" w:hAnsi="Times New Roman" w:eastAsia="方正仿宋_GBK"/>
        </w:rPr>
        <w:t>，</w:t>
      </w:r>
      <w:r>
        <w:rPr>
          <w:rFonts w:ascii="Times New Roman" w:hAnsi="Times New Roman" w:eastAsia="方正仿宋_GBK"/>
        </w:rPr>
        <w:t>并做好首年贯彻落实工作，有效填补地方立法空白。</w:t>
      </w:r>
    </w:p>
    <w:p w14:paraId="5D30138F">
      <w:pPr>
        <w:spacing w:line="600" w:lineRule="exact"/>
        <w:ind w:firstLine="659"/>
        <w:rPr>
          <w:rFonts w:ascii="Times New Roman" w:hAnsi="Times New Roman" w:eastAsia="方正仿宋_GBK"/>
        </w:rPr>
      </w:pPr>
      <w:r>
        <w:rPr>
          <w:rFonts w:ascii="Times New Roman" w:hAnsi="Times New Roman" w:eastAsia="方正仿宋_GBK"/>
          <w:b/>
          <w:bCs/>
        </w:rPr>
        <w:t>一是思想引领扎实有力</w:t>
      </w:r>
      <w:r>
        <w:rPr>
          <w:rFonts w:hint="eastAsia" w:ascii="Times New Roman" w:hAnsi="Times New Roman" w:eastAsia="方正仿宋_GBK"/>
          <w:b/>
          <w:bCs/>
        </w:rPr>
        <w:t>。</w:t>
      </w:r>
      <w:r>
        <w:rPr>
          <w:rFonts w:ascii="Times New Roman" w:hAnsi="Times New Roman" w:eastAsia="方正仿宋_GBK"/>
        </w:rPr>
        <w:t>构建“宁姐说”分层分类宣讲体系，开展宣讲3682场次，覆盖近20万人次；创新“行走的宣讲”“宁姐说·她课堂”与沉浸式对话场景，搭建巾帼榜样库并开展“礼遇芳华”慰问，市委领导走访优秀妇女代表，营造崇尚先进氛围。开展数智赋能培训，打造《成贤街43号》融媒体品牌，单期最高观看量1.7万</w:t>
      </w:r>
      <w:r>
        <w:rPr>
          <w:rFonts w:hint="eastAsia" w:ascii="Times New Roman" w:hAnsi="Times New Roman" w:eastAsia="方正仿宋_GBK"/>
        </w:rPr>
        <w:t>。</w:t>
      </w:r>
      <w:r>
        <w:rPr>
          <w:rFonts w:ascii="Times New Roman" w:hAnsi="Times New Roman" w:eastAsia="方正仿宋_GBK"/>
        </w:rPr>
        <w:t>“网上妇儿之家”用户突破56万。在市委政法委、国安办指导下建立妇女领域政治安全机制，稳妥处置性别议题敏感事件，领域内政治安全平稳可控。</w:t>
      </w:r>
    </w:p>
    <w:p w14:paraId="1B49CFAE">
      <w:pPr>
        <w:spacing w:line="600" w:lineRule="exact"/>
        <w:ind w:firstLine="659"/>
        <w:rPr>
          <w:rFonts w:ascii="Times New Roman" w:hAnsi="Times New Roman" w:eastAsia="方正仿宋_GBK"/>
        </w:rPr>
      </w:pPr>
      <w:r>
        <w:rPr>
          <w:rFonts w:ascii="Times New Roman" w:hAnsi="Times New Roman" w:eastAsia="方正仿宋_GBK"/>
          <w:b/>
          <w:bCs/>
        </w:rPr>
        <w:t>二是服务发展成效显著</w:t>
      </w:r>
      <w:r>
        <w:rPr>
          <w:rFonts w:hint="eastAsia" w:ascii="Times New Roman" w:hAnsi="Times New Roman" w:eastAsia="方正仿宋_GBK"/>
          <w:b/>
          <w:bCs/>
        </w:rPr>
        <w:t>。</w:t>
      </w:r>
      <w:r>
        <w:rPr>
          <w:rFonts w:ascii="Times New Roman" w:hAnsi="Times New Roman" w:eastAsia="方正仿宋_GBK"/>
        </w:rPr>
        <w:t>出台妇联营商环境十一条举措，联合市委组织部实施“宁姐科技英才”研修项目，走访巾帼企业百余家、破解发展难题百余个，开展赋能、研学服务近300场。推进“宁姐乡土英才培育计划”</w:t>
      </w:r>
      <w:r>
        <w:rPr>
          <w:rFonts w:hint="eastAsia" w:ascii="Times New Roman" w:hAnsi="Times New Roman" w:eastAsia="方正仿宋_GBK"/>
        </w:rPr>
        <w:t>，</w:t>
      </w:r>
      <w:r>
        <w:rPr>
          <w:rFonts w:ascii="Times New Roman" w:hAnsi="Times New Roman" w:eastAsia="方正仿宋_GBK"/>
        </w:rPr>
        <w:t>培育乡村妇女领头雁</w:t>
      </w:r>
      <w:r>
        <w:rPr>
          <w:rFonts w:hint="eastAsia" w:ascii="Times New Roman" w:hAnsi="Times New Roman" w:eastAsia="方正仿宋_GBK"/>
        </w:rPr>
        <w:t>。</w:t>
      </w:r>
      <w:r>
        <w:rPr>
          <w:rFonts w:ascii="Times New Roman" w:hAnsi="Times New Roman" w:eastAsia="方正仿宋_GBK"/>
        </w:rPr>
        <w:t>举办30场“宁姐丰收市集”“她选优品”助农活动，带动增收超百万元。落地“创享宁姐”“后浪计划”，实施20项巾帼创新创业项目，助力数万女大学生高质量创业就业</w:t>
      </w:r>
      <w:r>
        <w:rPr>
          <w:rFonts w:hint="eastAsia" w:ascii="Times New Roman" w:hAnsi="Times New Roman" w:eastAsia="方正仿宋_GBK"/>
        </w:rPr>
        <w:t>。</w:t>
      </w:r>
      <w:r>
        <w:rPr>
          <w:rFonts w:ascii="Times New Roman" w:hAnsi="Times New Roman" w:eastAsia="方正仿宋_GBK"/>
        </w:rPr>
        <w:t>联合人社部门开展近500场“春风送岗”专场招聘，发布岗位15.7万个。推行“宁姐橄榄枝”计划，推广生育友好灵活就业模式，5个宝妈就业案例获评省级优秀案例，项目获评省媒“我为群众办实事”十佳口碑典范。</w:t>
      </w:r>
    </w:p>
    <w:p w14:paraId="3906BCD5">
      <w:pPr>
        <w:spacing w:line="600" w:lineRule="exact"/>
        <w:ind w:firstLine="659"/>
        <w:rPr>
          <w:rFonts w:ascii="Times New Roman" w:hAnsi="Times New Roman" w:eastAsia="方正仿宋_GBK"/>
        </w:rPr>
      </w:pPr>
      <w:r>
        <w:rPr>
          <w:rFonts w:ascii="Times New Roman" w:hAnsi="Times New Roman" w:eastAsia="方正仿宋_GBK"/>
          <w:b/>
          <w:bCs/>
        </w:rPr>
        <w:t>三是民生保障坚实有力</w:t>
      </w:r>
      <w:r>
        <w:rPr>
          <w:rFonts w:hint="eastAsia" w:ascii="Times New Roman" w:hAnsi="Times New Roman" w:eastAsia="方正仿宋_GBK"/>
          <w:b/>
          <w:bCs/>
        </w:rPr>
        <w:t>。</w:t>
      </w:r>
      <w:r>
        <w:rPr>
          <w:rFonts w:ascii="Times New Roman" w:hAnsi="Times New Roman" w:eastAsia="方正仿宋_GBK"/>
        </w:rPr>
        <w:t>高标准收官“十四五”妇女儿童发展规划，牵头多部门攻坚薄弱指标，截至2025年11月，妇女、儿童发展指标达标率分别为100%、97.9%，位居全省前列；两项民生实事超额完成，原定8个儿童友好街区建成10个，原定1000人次农村妇女培训完成2134人次。承办29件人大建议、政协提案，满意率100%；12345热线诉求办结率100%。</w:t>
      </w:r>
    </w:p>
    <w:p w14:paraId="731C11FE">
      <w:pPr>
        <w:spacing w:line="600" w:lineRule="exact"/>
        <w:ind w:firstLine="659"/>
        <w:rPr>
          <w:rFonts w:ascii="Times New Roman" w:hAnsi="Times New Roman" w:eastAsia="方正仿宋_GBK"/>
        </w:rPr>
      </w:pPr>
      <w:r>
        <w:rPr>
          <w:rFonts w:ascii="Times New Roman" w:hAnsi="Times New Roman" w:eastAsia="方正仿宋_GBK"/>
          <w:b/>
          <w:bCs/>
        </w:rPr>
        <w:t>四是家庭建设稳步推进</w:t>
      </w:r>
      <w:r>
        <w:rPr>
          <w:rFonts w:hint="eastAsia" w:ascii="Times New Roman" w:hAnsi="Times New Roman" w:eastAsia="方正仿宋_GBK"/>
          <w:b/>
          <w:bCs/>
        </w:rPr>
        <w:t>。</w:t>
      </w:r>
      <w:r>
        <w:rPr>
          <w:rFonts w:ascii="Times New Roman" w:hAnsi="Times New Roman" w:eastAsia="方正仿宋_GBK"/>
        </w:rPr>
        <w:t>完善“家联盟、家中心、家阵地、在线家”平台体系，优化</w:t>
      </w:r>
      <w:r>
        <w:rPr>
          <w:rFonts w:hint="eastAsia" w:ascii="Times New Roman" w:hAnsi="Times New Roman" w:eastAsia="方正仿宋_GBK"/>
        </w:rPr>
        <w:t>《</w:t>
      </w:r>
      <w:r>
        <w:rPr>
          <w:rFonts w:ascii="Times New Roman" w:hAnsi="Times New Roman" w:eastAsia="方正仿宋_GBK"/>
        </w:rPr>
        <w:t>社区家风家教“五会”工作法</w:t>
      </w:r>
      <w:r>
        <w:rPr>
          <w:rFonts w:hint="eastAsia" w:ascii="Times New Roman" w:hAnsi="Times New Roman" w:eastAsia="方正仿宋_GBK"/>
        </w:rPr>
        <w:t>》</w:t>
      </w:r>
      <w:r>
        <w:rPr>
          <w:rFonts w:ascii="Times New Roman" w:hAnsi="Times New Roman" w:eastAsia="方正仿宋_GBK"/>
        </w:rPr>
        <w:t>，开展“百馆千员讲家风”主题活动，印发万余册清廉家风提示册。打造多形态家长学校，推出30期“宁姐137空中课堂”、40余场线下巡讲，实施“同在阳光下”项目，家教服务惠及超万户家庭。深化“博爱妈妈”结对帮扶，为1300余名困境儿童点亮微心愿，13个爱心妈妈驿站纳入全国地图。推进“护航家庭成长计划”，在金陵STYLE</w:t>
      </w:r>
      <w:r>
        <w:rPr>
          <w:rFonts w:hint="eastAsia" w:ascii="Times New Roman" w:hAnsi="Times New Roman" w:eastAsia="方正仿宋_GBK"/>
        </w:rPr>
        <w:t>打造</w:t>
      </w:r>
      <w:r>
        <w:rPr>
          <w:rFonts w:ascii="Times New Roman" w:hAnsi="Times New Roman" w:eastAsia="方正仿宋_GBK"/>
        </w:rPr>
        <w:t>婚育文化空间、发布</w:t>
      </w:r>
      <w:r>
        <w:rPr>
          <w:rFonts w:hint="eastAsia" w:ascii="Times New Roman" w:hAnsi="Times New Roman" w:eastAsia="方正仿宋_GBK"/>
        </w:rPr>
        <w:t>“</w:t>
      </w:r>
      <w:r>
        <w:rPr>
          <w:rFonts w:ascii="Times New Roman" w:hAnsi="Times New Roman" w:eastAsia="方正仿宋_GBK"/>
        </w:rPr>
        <w:t>甜蜜路线</w:t>
      </w:r>
      <w:r>
        <w:rPr>
          <w:rFonts w:hint="eastAsia" w:ascii="Times New Roman" w:hAnsi="Times New Roman" w:eastAsia="方正仿宋_GBK"/>
        </w:rPr>
        <w:t>”</w:t>
      </w:r>
      <w:r>
        <w:rPr>
          <w:rFonts w:ascii="Times New Roman" w:hAnsi="Times New Roman" w:eastAsia="方正仿宋_GBK"/>
        </w:rPr>
        <w:t>，新增10个省级婚育</w:t>
      </w:r>
      <w:r>
        <w:rPr>
          <w:rFonts w:hint="eastAsia" w:ascii="Times New Roman" w:hAnsi="Times New Roman" w:eastAsia="方正仿宋_GBK"/>
        </w:rPr>
        <w:t>文化</w:t>
      </w:r>
      <w:r>
        <w:rPr>
          <w:rFonts w:ascii="Times New Roman" w:hAnsi="Times New Roman" w:eastAsia="方正仿宋_GBK"/>
        </w:rPr>
        <w:t>培育点；开展“加油新手妈妈”培训服务500余人，发放600余个加油包，惠及近千户家庭，助力营造生育友好氛围。</w:t>
      </w:r>
    </w:p>
    <w:p w14:paraId="3615F328">
      <w:pPr>
        <w:spacing w:line="600" w:lineRule="exact"/>
        <w:ind w:firstLine="659"/>
        <w:rPr>
          <w:rFonts w:ascii="Times New Roman" w:hAnsi="Times New Roman" w:eastAsia="方正仿宋_GBK"/>
        </w:rPr>
      </w:pPr>
      <w:r>
        <w:rPr>
          <w:rFonts w:ascii="Times New Roman" w:hAnsi="Times New Roman" w:eastAsia="方正仿宋_GBK"/>
          <w:b/>
          <w:bCs/>
        </w:rPr>
        <w:t>五是权益维护坚实稳固</w:t>
      </w:r>
      <w:r>
        <w:rPr>
          <w:rFonts w:hint="eastAsia" w:ascii="Times New Roman" w:hAnsi="Times New Roman" w:eastAsia="方正仿宋_GBK"/>
          <w:b/>
          <w:bCs/>
        </w:rPr>
        <w:t>。</w:t>
      </w:r>
      <w:r>
        <w:rPr>
          <w:rFonts w:ascii="Times New Roman" w:hAnsi="Times New Roman" w:eastAsia="方正仿宋_GBK"/>
        </w:rPr>
        <w:t>全年参与10部规章性别平等评估，提出建议17条。</w:t>
      </w:r>
      <w:r>
        <w:rPr>
          <w:rFonts w:hint="eastAsia" w:ascii="Times New Roman" w:hAnsi="Times New Roman" w:eastAsia="方正仿宋_GBK"/>
        </w:rPr>
        <w:t>加大</w:t>
      </w:r>
      <w:r>
        <w:rPr>
          <w:rFonts w:ascii="Times New Roman" w:hAnsi="Times New Roman" w:eastAsia="方正仿宋_GBK"/>
        </w:rPr>
        <w:t>《南京市妇女权益保障条例》实施</w:t>
      </w:r>
      <w:r>
        <w:rPr>
          <w:rFonts w:hint="eastAsia" w:ascii="Times New Roman" w:hAnsi="Times New Roman" w:eastAsia="方正仿宋_GBK"/>
        </w:rPr>
        <w:t>力度</w:t>
      </w:r>
      <w:r>
        <w:rPr>
          <w:rFonts w:ascii="Times New Roman" w:hAnsi="Times New Roman" w:eastAsia="方正仿宋_GBK"/>
        </w:rPr>
        <w:t>，</w:t>
      </w:r>
      <w:r>
        <w:rPr>
          <w:rFonts w:hint="eastAsia" w:ascii="Times New Roman" w:hAnsi="Times New Roman" w:eastAsia="方正仿宋_GBK"/>
        </w:rPr>
        <w:t>聚焦女职工劳动保护、农村妇女土地权益、公务员招聘条件等内容，联动相关部门会商协同推进。</w:t>
      </w:r>
      <w:r>
        <w:rPr>
          <w:rFonts w:ascii="Times New Roman" w:hAnsi="Times New Roman" w:eastAsia="方正仿宋_GBK"/>
        </w:rPr>
        <w:t>依托12338维权中心提供公益服务1700余人次、个案跟进20件，处置家暴线索8000余例。完善婚姻家庭纠纷多元化解机制，培育基层维权阵地、发布典型维权案例；开展普法活动超300场、发放普法资料万余份，家庭学法竞赛吸引20万人次参与。</w:t>
      </w:r>
    </w:p>
    <w:p w14:paraId="3F76E443">
      <w:pPr>
        <w:spacing w:line="600" w:lineRule="exact"/>
        <w:ind w:firstLine="659"/>
        <w:rPr>
          <w:rFonts w:ascii="Times New Roman" w:hAnsi="Times New Roman" w:eastAsia="方正仿宋_GBK"/>
        </w:rPr>
      </w:pPr>
      <w:r>
        <w:rPr>
          <w:rFonts w:ascii="Times New Roman" w:hAnsi="Times New Roman" w:eastAsia="方正仿宋_GBK"/>
          <w:b/>
          <w:bCs/>
        </w:rPr>
        <w:t>六是组织活力充分激发。</w:t>
      </w:r>
      <w:r>
        <w:rPr>
          <w:rFonts w:ascii="Times New Roman" w:hAnsi="Times New Roman" w:eastAsia="方正仿宋_GBK"/>
        </w:rPr>
        <w:t>将党建引领新兴领域妇联提质增效列为基层党建“书记项目”，四级妇联协同推进超额完成年度任务。</w:t>
      </w:r>
      <w:r>
        <w:rPr>
          <w:rFonts w:hint="eastAsia" w:ascii="Times New Roman" w:hAnsi="Times New Roman" w:eastAsia="方正仿宋_GBK"/>
        </w:rPr>
        <w:t>年末</w:t>
      </w:r>
      <w:r>
        <w:rPr>
          <w:rFonts w:ascii="Times New Roman" w:hAnsi="Times New Roman" w:eastAsia="方正仿宋_GBK"/>
        </w:rPr>
        <w:t>全市妇女组织覆盖数超3万个，已建党组织的单位实现妇女组织100%覆盖，新兴领域妇女组织覆盖数全省领先。提前高质量完成45个省市试点任务，在宁民企500强、互联网企业100强妇联组织全覆盖，30个在宁省级以上园区妇联组织全覆盖。新建重点产业链妇联、区域性妇联及行业妇联近百个，区级网络直播行业妇联全覆盖。开展新就业女性群体关爱服务，实施17个提质增效项目，发放“宁姐暖新包”1600余份，举办子女夏令营200余场，有效解决外卖女骑手、网约车女司机等群体的后顾之忧。面向妇联干部、执委</w:t>
      </w:r>
      <w:r>
        <w:rPr>
          <w:rFonts w:hint="eastAsia" w:ascii="Times New Roman" w:hAnsi="Times New Roman" w:eastAsia="方正仿宋_GBK"/>
        </w:rPr>
        <w:t>开展</w:t>
      </w:r>
      <w:r>
        <w:rPr>
          <w:rFonts w:ascii="Times New Roman" w:hAnsi="Times New Roman" w:eastAsia="方正仿宋_GBK"/>
        </w:rPr>
        <w:t>培训5000余人次，加强妇联干部队伍建设。编印30个改革案例集，南京经验在全国、全省推广。</w:t>
      </w:r>
    </w:p>
    <w:p w14:paraId="7F63A8D7">
      <w:pPr>
        <w:spacing w:line="600" w:lineRule="exact"/>
        <w:ind w:firstLine="659"/>
        <w:rPr>
          <w:rFonts w:ascii="Times New Roman" w:hAnsi="Times New Roman" w:eastAsia="方正仿宋_GBK"/>
        </w:rPr>
      </w:pPr>
      <w:r>
        <w:rPr>
          <w:rFonts w:ascii="Times New Roman" w:hAnsi="Times New Roman" w:eastAsia="方正仿宋_GBK"/>
          <w:b/>
          <w:bCs/>
        </w:rPr>
        <w:t>七是开放合作走深走实。</w:t>
      </w:r>
      <w:r>
        <w:rPr>
          <w:rFonts w:ascii="Times New Roman" w:hAnsi="Times New Roman" w:eastAsia="方正仿宋_GBK"/>
        </w:rPr>
        <w:t>联动粤港澳大湾区开展“宁港巾帼 共启新程”活动，成功邀请香港妇协主席何超琼、中国女企业家协会来宁调研，接待台湾中华妇女经贸文化交流协会考察，形成9条高质量招商线索，得到市委主要领导高度评价。联合沿沪宁产业创新带举办创业创新大赛斩获一等奖，展现南京女性创新风采；举办“石榴花·宁伊一家亲”活动，筑牢民族团结纽带；与白俄罗斯妇女组织开展专项交流，生动讲好南京妇女发展故事。</w:t>
      </w:r>
    </w:p>
    <w:p w14:paraId="435F7C3B">
      <w:pPr>
        <w:spacing w:line="600" w:lineRule="exact"/>
        <w:ind w:firstLine="659"/>
        <w:rPr>
          <w:rFonts w:ascii="Times New Roman" w:hAnsi="Times New Roman" w:eastAsia="方正仿宋_GBK"/>
        </w:rPr>
      </w:pPr>
      <w:r>
        <w:rPr>
          <w:rFonts w:ascii="Times New Roman" w:hAnsi="Times New Roman" w:eastAsia="方正仿宋_GBK"/>
          <w:b/>
          <w:bCs/>
        </w:rPr>
        <w:t>八是党的建设纵深推进</w:t>
      </w:r>
      <w:r>
        <w:rPr>
          <w:rFonts w:hint="eastAsia" w:ascii="Times New Roman" w:hAnsi="Times New Roman" w:eastAsia="方正仿宋_GBK"/>
          <w:b/>
          <w:bCs/>
        </w:rPr>
        <w:t>。</w:t>
      </w:r>
      <w:r>
        <w:rPr>
          <w:rFonts w:ascii="Times New Roman" w:hAnsi="Times New Roman" w:eastAsia="方正仿宋_GBK"/>
        </w:rPr>
        <w:t>严格落实“第一议题”制度，深入学习贯彻党的二十届三中、四中全会精神及习近平总书记重要讲话重要指示批示精神。</w:t>
      </w:r>
      <w:r>
        <w:rPr>
          <w:rFonts w:hint="eastAsia" w:ascii="Times New Roman" w:hAnsi="Times New Roman" w:eastAsia="方正仿宋_GBK"/>
        </w:rPr>
        <w:t>压实</w:t>
      </w:r>
      <w:r>
        <w:rPr>
          <w:rFonts w:ascii="Times New Roman" w:hAnsi="Times New Roman" w:eastAsia="方正仿宋_GBK"/>
        </w:rPr>
        <w:t>全面从严治党主体责任，制定责任清单。落实意识形态工作责任制，坚持“一把手”亲自抓，分管领导直接负责，班子其他成员“一岗双责”，专题研究分析意识形态领域情况。严格执行民主集中制，召开党组会、主席办公会44次。高质量召开民主生活会，开展批评与自我批评。落实“三会一课”制度，深入开展常态化谈心谈话。扎实开展机关“五比”主题活动。系统打造“宁姐凝心”“1+7”党建品牌矩阵，推动党建工作与业务深度融合。</w:t>
      </w:r>
      <w:r>
        <w:rPr>
          <w:rFonts w:hint="eastAsia" w:ascii="Times New Roman" w:hAnsi="Times New Roman" w:eastAsia="方正仿宋_GBK"/>
          <w:lang w:eastAsia="zh-CN"/>
        </w:rPr>
        <w:t>开展深入贯彻中央八项规定精神学习教育</w:t>
      </w:r>
      <w:bookmarkStart w:id="22" w:name="_GoBack"/>
      <w:bookmarkEnd w:id="22"/>
      <w:r>
        <w:rPr>
          <w:rFonts w:ascii="Times New Roman" w:hAnsi="Times New Roman" w:eastAsia="方正仿宋_GBK"/>
        </w:rPr>
        <w:t>，坚持“学、查、改”一体推进，一严到底纠治“四风”。压紧压实党风廉政建设主体责任与“一岗双责”。配合派驻纪检组工作，完善作风监督员机制，强化廉政风险防控。重视并扎实做好巡察整改“回头看”工作，确保问题整改清仓见底、常态长效。</w:t>
      </w:r>
    </w:p>
    <w:p w14:paraId="6E61F35D">
      <w:pPr>
        <w:spacing w:line="600" w:lineRule="exact"/>
        <w:ind w:firstLine="656"/>
        <w:rPr>
          <w:rFonts w:ascii="Times New Roman" w:hAnsi="Times New Roman" w:eastAsia="方正黑体_GBK"/>
          <w:bCs/>
        </w:rPr>
      </w:pPr>
      <w:r>
        <w:rPr>
          <w:rFonts w:ascii="Times New Roman" w:hAnsi="Times New Roman" w:eastAsia="方正黑体_GBK"/>
          <w:bCs/>
        </w:rPr>
        <w:t>四、存在问题及原因分析</w:t>
      </w:r>
    </w:p>
    <w:p w14:paraId="1777AB42">
      <w:pPr>
        <w:spacing w:line="600" w:lineRule="exact"/>
        <w:ind w:firstLine="659"/>
        <w:rPr>
          <w:rFonts w:hint="eastAsia" w:ascii="Times New Roman" w:hAnsi="Times New Roman" w:eastAsia="方正仿宋_GBK"/>
          <w:b/>
          <w:bCs/>
          <w:lang w:eastAsia="zh-CN"/>
        </w:rPr>
      </w:pPr>
      <w:r>
        <w:rPr>
          <w:rFonts w:hint="eastAsia" w:ascii="Times New Roman" w:hAnsi="Times New Roman" w:eastAsia="方正仿宋_GBK"/>
          <w:b/>
          <w:bCs/>
        </w:rPr>
        <w:t>一是绩效指标体系精细化、匹配度仍有提升空间。</w:t>
      </w:r>
      <w:r>
        <w:rPr>
          <w:rFonts w:hint="eastAsia" w:ascii="Times New Roman" w:hAnsi="Times New Roman" w:eastAsia="方正仿宋_GBK"/>
        </w:rPr>
        <w:t>虽然持续优化绩效指标设置流程，但指标拆解未能完全贴合年度重点工作</w:t>
      </w:r>
      <w:r>
        <w:rPr>
          <w:rFonts w:hint="eastAsia" w:ascii="Times New Roman" w:hAnsi="Times New Roman" w:eastAsia="方正仿宋_GBK"/>
          <w:lang w:eastAsia="zh-CN"/>
        </w:rPr>
        <w:t>，</w:t>
      </w:r>
      <w:r>
        <w:rPr>
          <w:rFonts w:hint="eastAsia" w:ascii="Times New Roman" w:hAnsi="Times New Roman" w:eastAsia="方正仿宋_GBK"/>
        </w:rPr>
        <w:t>部分指标量化标准不够细化，现有指标多聚焦常规业务，对特色创新工作、跨部门协同工作覆盖不足，未能完整反映履职全貌，绩效指标的考核导向与评价衡量作用未能充分</w:t>
      </w:r>
      <w:r>
        <w:rPr>
          <w:rFonts w:hint="eastAsia" w:ascii="Times New Roman" w:hAnsi="Times New Roman" w:eastAsia="方正仿宋_GBK"/>
          <w:lang w:val="en-US" w:eastAsia="zh-CN"/>
        </w:rPr>
        <w:t>体现</w:t>
      </w:r>
      <w:r>
        <w:rPr>
          <w:rFonts w:hint="eastAsia" w:ascii="Times New Roman" w:hAnsi="Times New Roman" w:eastAsia="方正仿宋_GBK"/>
          <w:lang w:eastAsia="zh-CN"/>
        </w:rPr>
        <w:t>。</w:t>
      </w:r>
    </w:p>
    <w:p w14:paraId="25A4A613">
      <w:pPr>
        <w:spacing w:line="600" w:lineRule="exact"/>
        <w:ind w:firstLine="659"/>
        <w:rPr>
          <w:rFonts w:ascii="Times New Roman" w:hAnsi="Times New Roman" w:eastAsia="方正仿宋_GBK"/>
        </w:rPr>
      </w:pPr>
      <w:r>
        <w:rPr>
          <w:rFonts w:hint="eastAsia" w:ascii="Times New Roman" w:hAnsi="Times New Roman" w:eastAsia="方正仿宋_GBK"/>
          <w:b/>
          <w:bCs/>
        </w:rPr>
        <w:t>二是培训</w:t>
      </w:r>
      <w:r>
        <w:rPr>
          <w:rFonts w:hint="eastAsia" w:ascii="Times New Roman" w:hAnsi="Times New Roman" w:eastAsia="方正仿宋_GBK"/>
          <w:b/>
          <w:bCs/>
          <w:lang w:val="en-US" w:eastAsia="zh-CN"/>
        </w:rPr>
        <w:t>规模偏小</w:t>
      </w:r>
      <w:r>
        <w:rPr>
          <w:rFonts w:hint="eastAsia" w:ascii="Times New Roman" w:hAnsi="Times New Roman" w:eastAsia="方正仿宋_GBK"/>
          <w:b/>
          <w:bCs/>
        </w:rPr>
        <w:t>，培训质效有待提升。</w:t>
      </w:r>
      <w:r>
        <w:rPr>
          <w:rFonts w:hint="eastAsia" w:ascii="Times New Roman" w:hAnsi="Times New Roman" w:eastAsia="方正仿宋_GBK"/>
        </w:rPr>
        <w:t>围绕维权服务、基层妇联建设、意识形态、改革创新等业务，</w:t>
      </w:r>
      <w:r>
        <w:rPr>
          <w:rFonts w:hint="eastAsia" w:ascii="Times New Roman" w:hAnsi="Times New Roman" w:eastAsia="方正仿宋_GBK"/>
          <w:lang w:val="en-US" w:eastAsia="zh-CN"/>
        </w:rPr>
        <w:t>已</w:t>
      </w:r>
      <w:r>
        <w:rPr>
          <w:rFonts w:hint="eastAsia" w:ascii="Times New Roman" w:hAnsi="Times New Roman" w:eastAsia="方正仿宋_GBK"/>
        </w:rPr>
        <w:t>常态化开展分层分类培训，但</w:t>
      </w:r>
      <w:r>
        <w:rPr>
          <w:rFonts w:hint="eastAsia" w:ascii="Times New Roman" w:hAnsi="Times New Roman" w:eastAsia="方正仿宋_GBK"/>
          <w:lang w:val="en-US" w:eastAsia="zh-CN"/>
        </w:rPr>
        <w:t>受经费预算有限影响，</w:t>
      </w:r>
      <w:r>
        <w:rPr>
          <w:rFonts w:hint="eastAsia" w:ascii="Times New Roman" w:hAnsi="Times New Roman" w:eastAsia="方正仿宋_GBK"/>
        </w:rPr>
        <w:t>培训</w:t>
      </w:r>
      <w:r>
        <w:rPr>
          <w:rFonts w:hint="eastAsia" w:ascii="Times New Roman" w:hAnsi="Times New Roman" w:eastAsia="方正仿宋_GBK"/>
          <w:lang w:val="en-US" w:eastAsia="zh-CN"/>
        </w:rPr>
        <w:t>开展</w:t>
      </w:r>
      <w:r>
        <w:rPr>
          <w:rFonts w:hint="eastAsia" w:ascii="Times New Roman" w:hAnsi="Times New Roman" w:eastAsia="方正仿宋_GBK"/>
        </w:rPr>
        <w:t>规模偏小，</w:t>
      </w:r>
      <w:r>
        <w:rPr>
          <w:rFonts w:hint="eastAsia" w:ascii="Times New Roman" w:hAnsi="Times New Roman" w:eastAsia="方正仿宋_GBK"/>
          <w:lang w:val="en-US" w:eastAsia="zh-CN"/>
        </w:rPr>
        <w:t>培训覆盖面和培训质效受到制约。</w:t>
      </w:r>
    </w:p>
    <w:p w14:paraId="0ECE042B">
      <w:pPr>
        <w:spacing w:line="600" w:lineRule="exact"/>
        <w:ind w:firstLine="659"/>
        <w:rPr>
          <w:rFonts w:ascii="Times New Roman" w:hAnsi="Times New Roman" w:eastAsia="方正仿宋_GBK"/>
          <w:b/>
          <w:bCs/>
        </w:rPr>
      </w:pPr>
      <w:r>
        <w:rPr>
          <w:rFonts w:hint="eastAsia" w:ascii="Times New Roman" w:hAnsi="Times New Roman" w:eastAsia="方正仿宋_GBK"/>
          <w:b/>
          <w:bCs/>
        </w:rPr>
        <w:t>五、有关建议</w:t>
      </w:r>
    </w:p>
    <w:p w14:paraId="38178425">
      <w:pPr>
        <w:spacing w:line="600" w:lineRule="exact"/>
        <w:ind w:firstLine="659"/>
        <w:rPr>
          <w:rFonts w:hint="eastAsia" w:ascii="Times New Roman" w:hAnsi="Times New Roman" w:eastAsia="方正仿宋_GBK"/>
        </w:rPr>
      </w:pPr>
      <w:r>
        <w:rPr>
          <w:rFonts w:hint="eastAsia" w:ascii="Times New Roman" w:hAnsi="Times New Roman" w:eastAsia="方正仿宋_GBK"/>
          <w:b/>
          <w:bCs/>
        </w:rPr>
        <w:t>一是优化绩效指标管理，构建精准适配的指标体系。</w:t>
      </w:r>
      <w:r>
        <w:rPr>
          <w:rFonts w:hint="eastAsia" w:ascii="Times New Roman" w:hAnsi="Times New Roman" w:eastAsia="方正仿宋_GBK"/>
          <w:lang w:val="en-US" w:eastAsia="zh-CN"/>
        </w:rPr>
        <w:t>紧扣</w:t>
      </w:r>
      <w:r>
        <w:rPr>
          <w:rFonts w:hint="eastAsia" w:ascii="Times New Roman" w:hAnsi="Times New Roman" w:eastAsia="方正仿宋_GBK"/>
        </w:rPr>
        <w:t>单位 “三定” 职能、中长期发展规划与年度重点任务，统筹谋划绩效指标编制工作。细化</w:t>
      </w:r>
      <w:r>
        <w:rPr>
          <w:rFonts w:hint="eastAsia" w:ascii="Times New Roman" w:hAnsi="Times New Roman" w:eastAsia="方正仿宋_GBK"/>
          <w:lang w:val="en-US" w:eastAsia="zh-CN"/>
        </w:rPr>
        <w:t>完善</w:t>
      </w:r>
      <w:r>
        <w:rPr>
          <w:rFonts w:hint="eastAsia" w:ascii="Times New Roman" w:hAnsi="Times New Roman" w:eastAsia="方正仿宋_GBK"/>
        </w:rPr>
        <w:t>定量指标量化标准，健全指标动态优化调整机制</w:t>
      </w:r>
      <w:r>
        <w:rPr>
          <w:rFonts w:hint="eastAsia" w:ascii="Times New Roman" w:hAnsi="Times New Roman" w:eastAsia="方正仿宋_GBK"/>
          <w:lang w:eastAsia="zh-CN"/>
        </w:rPr>
        <w:t>，</w:t>
      </w:r>
      <w:r>
        <w:rPr>
          <w:rFonts w:hint="eastAsia" w:ascii="Times New Roman" w:hAnsi="Times New Roman" w:eastAsia="方正仿宋_GBK"/>
        </w:rPr>
        <w:t>围绕专项资金、重点项目匹配对应绩效指标，提升指标与实际业务的契合度，</w:t>
      </w:r>
      <w:r>
        <w:rPr>
          <w:rFonts w:hint="eastAsia" w:ascii="Times New Roman" w:hAnsi="Times New Roman" w:eastAsia="方正仿宋_GBK"/>
          <w:lang w:val="en-US" w:eastAsia="zh-CN"/>
        </w:rPr>
        <w:t>切实</w:t>
      </w:r>
      <w:r>
        <w:rPr>
          <w:rFonts w:hint="eastAsia" w:ascii="Times New Roman" w:hAnsi="Times New Roman" w:eastAsia="方正仿宋_GBK"/>
        </w:rPr>
        <w:t>发挥绩效指标考核引领作用。</w:t>
      </w:r>
    </w:p>
    <w:p w14:paraId="1A24EA9C">
      <w:pPr>
        <w:spacing w:line="600" w:lineRule="exact"/>
        <w:ind w:firstLine="659"/>
        <w:rPr>
          <w:rFonts w:ascii="Times New Roman" w:hAnsi="Times New Roman" w:eastAsia="方正仿宋_GBK"/>
        </w:rPr>
      </w:pPr>
      <w:r>
        <w:rPr>
          <w:rFonts w:hint="eastAsia" w:ascii="Times New Roman" w:hAnsi="Times New Roman" w:eastAsia="方正仿宋_GBK"/>
          <w:b/>
          <w:bCs/>
          <w:lang w:val="en-US" w:eastAsia="zh-CN"/>
        </w:rPr>
        <w:t>二是统筹优化培训经费配置，切实提升干部教育培训实效</w:t>
      </w:r>
      <w:r>
        <w:rPr>
          <w:rFonts w:hint="eastAsia" w:ascii="Times New Roman" w:hAnsi="Times New Roman" w:eastAsia="方正仿宋_GBK"/>
        </w:rPr>
        <w:t>。立足妇联干部队伍建设现实需要，科学测算培训经费需求，积极争取经费保障，适度拓展培训覆盖面</w:t>
      </w:r>
      <w:r>
        <w:rPr>
          <w:rFonts w:hint="eastAsia" w:ascii="Times New Roman" w:hAnsi="Times New Roman" w:eastAsia="方正仿宋_GBK"/>
          <w:lang w:eastAsia="zh-CN"/>
        </w:rPr>
        <w:t>。</w:t>
      </w:r>
      <w:r>
        <w:rPr>
          <w:rFonts w:hint="eastAsia" w:ascii="Times New Roman" w:hAnsi="Times New Roman" w:eastAsia="方正仿宋_GBK"/>
          <w:lang w:val="en-US" w:eastAsia="zh-CN"/>
        </w:rPr>
        <w:t>持续健全培训机制，建立需求调研、</w:t>
      </w:r>
      <w:r>
        <w:rPr>
          <w:rFonts w:hint="eastAsia" w:ascii="Times New Roman" w:hAnsi="Times New Roman" w:eastAsia="方正仿宋_GBK"/>
          <w:lang w:eastAsia="zh-CN"/>
        </w:rPr>
        <w:t>培训</w:t>
      </w:r>
      <w:r>
        <w:rPr>
          <w:rFonts w:hint="eastAsia" w:ascii="Times New Roman" w:hAnsi="Times New Roman" w:eastAsia="方正仿宋_GBK"/>
        </w:rPr>
        <w:t>成效回访、经验交流机制</w:t>
      </w:r>
      <w:r>
        <w:rPr>
          <w:rFonts w:hint="eastAsia" w:ascii="Times New Roman" w:hAnsi="Times New Roman" w:eastAsia="方正仿宋_GBK"/>
          <w:lang w:eastAsia="zh-CN"/>
        </w:rPr>
        <w:t>，</w:t>
      </w:r>
      <w:r>
        <w:rPr>
          <w:rFonts w:hint="eastAsia" w:ascii="Times New Roman" w:hAnsi="Times New Roman" w:eastAsia="方正仿宋_GBK"/>
          <w:lang w:val="en-US" w:eastAsia="zh-CN"/>
        </w:rPr>
        <w:t>创新培训模式</w:t>
      </w:r>
      <w:r>
        <w:rPr>
          <w:rFonts w:hint="eastAsia" w:ascii="Times New Roman" w:hAnsi="Times New Roman" w:eastAsia="方正仿宋_GBK"/>
        </w:rPr>
        <w:t>，推动培训所学转化为基层工作实操能力，系统化提升妇联干部、执委履职综合水平。</w:t>
      </w:r>
    </w:p>
    <w:p w14:paraId="7432440A">
      <w:pPr>
        <w:spacing w:line="600" w:lineRule="exact"/>
        <w:ind w:firstLine="656"/>
        <w:rPr>
          <w:rFonts w:ascii="Times New Roman" w:hAnsi="Times New Roman" w:eastAsia="方正黑体_GBK"/>
          <w:bCs/>
        </w:rPr>
      </w:pPr>
      <w:r>
        <w:rPr>
          <w:rFonts w:ascii="Times New Roman" w:hAnsi="Times New Roman" w:eastAsia="方正黑体_GBK"/>
          <w:bCs/>
        </w:rPr>
        <w:t>六、评价工作开展情况及其他需说明的情况</w:t>
      </w:r>
    </w:p>
    <w:p w14:paraId="07DC5548">
      <w:pPr>
        <w:spacing w:line="600" w:lineRule="exact"/>
        <w:ind w:firstLine="656"/>
        <w:rPr>
          <w:rFonts w:ascii="Times New Roman" w:hAnsi="Times New Roman" w:eastAsia="方正楷体_GBK"/>
        </w:rPr>
      </w:pPr>
      <w:r>
        <w:rPr>
          <w:rFonts w:ascii="Times New Roman" w:hAnsi="Times New Roman" w:eastAsia="方正楷体_GBK"/>
        </w:rPr>
        <w:t>（一） 评价思路</w:t>
      </w:r>
    </w:p>
    <w:p w14:paraId="353436E5">
      <w:pPr>
        <w:spacing w:line="600" w:lineRule="exact"/>
        <w:ind w:firstLine="656"/>
        <w:rPr>
          <w:rFonts w:ascii="Times New Roman" w:hAnsi="Times New Roman" w:eastAsia="方正仿宋_GBK"/>
        </w:rPr>
      </w:pPr>
      <w:r>
        <w:rPr>
          <w:rFonts w:ascii="Times New Roman" w:hAnsi="Times New Roman" w:eastAsia="方正仿宋_GBK"/>
        </w:rPr>
        <w:t>部门整体绩效评价围绕部门职责、行业发展规划，以预算资金管理为主线，以部门履职情况为核心内容，统筹考虑资产和业务活动，从部门决策、部门管理、部门履职、履职绩效、服务对象满意度五个维度来设计指标、评价标准以及指标权重等，形成了绩效评价指标体系，综合衡量部门整体及核心业务实施效果。</w:t>
      </w:r>
    </w:p>
    <w:p w14:paraId="53CCE124">
      <w:pPr>
        <w:spacing w:line="600" w:lineRule="exact"/>
        <w:ind w:firstLine="656"/>
        <w:rPr>
          <w:rFonts w:ascii="Times New Roman" w:hAnsi="Times New Roman" w:eastAsia="方正楷体_GBK"/>
        </w:rPr>
      </w:pPr>
      <w:r>
        <w:rPr>
          <w:rFonts w:ascii="Times New Roman" w:hAnsi="Times New Roman" w:eastAsia="方正楷体_GBK"/>
        </w:rPr>
        <w:t>（二）评价方法</w:t>
      </w:r>
    </w:p>
    <w:p w14:paraId="69188413">
      <w:pPr>
        <w:spacing w:line="600" w:lineRule="exact"/>
        <w:ind w:firstLine="656"/>
        <w:rPr>
          <w:rFonts w:ascii="Times New Roman" w:hAnsi="Times New Roman" w:eastAsia="方正仿宋_GBK"/>
        </w:rPr>
      </w:pPr>
      <w:r>
        <w:rPr>
          <w:rFonts w:ascii="Times New Roman" w:hAnsi="Times New Roman" w:eastAsia="方正仿宋_GBK"/>
        </w:rPr>
        <w:t>本次绩效评价项目通过综合运用制定评价指标和标准、数据采集、问卷调查等方式进行部门整体绩效综合评价，一方面详细了解、掌握部门概况及专项资金项目实施情况；另一方面进行调查取数，为评价部门决策、部门管理、部门履职及履职绩效、服务对象满意度等提供证据支撑。评价指标采取定量与定性相结合的原则。</w:t>
      </w:r>
    </w:p>
    <w:p w14:paraId="5C731C94">
      <w:pPr>
        <w:spacing w:line="600" w:lineRule="exact"/>
        <w:ind w:firstLine="656"/>
        <w:rPr>
          <w:rFonts w:ascii="Times New Roman" w:hAnsi="Times New Roman" w:eastAsia="方正楷体_GBK"/>
        </w:rPr>
      </w:pPr>
      <w:r>
        <w:rPr>
          <w:rFonts w:ascii="Times New Roman" w:hAnsi="Times New Roman" w:eastAsia="方正楷体_GBK"/>
        </w:rPr>
        <w:t>（三）指标体系</w:t>
      </w:r>
    </w:p>
    <w:p w14:paraId="633378DF">
      <w:pPr>
        <w:spacing w:line="600" w:lineRule="exact"/>
        <w:ind w:firstLine="656"/>
        <w:rPr>
          <w:rFonts w:ascii="Times New Roman" w:hAnsi="Times New Roman" w:eastAsia="方正仿宋_GBK"/>
        </w:rPr>
      </w:pPr>
      <w:r>
        <w:rPr>
          <w:rFonts w:ascii="Times New Roman" w:hAnsi="Times New Roman" w:eastAsia="方正仿宋_GBK"/>
        </w:rPr>
        <w:t>根据绩效评价的基本原理、原则和项目特点，评价组按照逻辑分析法研制部门整体绩效评价指标体系。按照《南京市市级财政预算绩效评价操作规程》（宁财绩〔2020〕260 号）等，结合市妇联2025年度工作目标、业务和资金管理，设计部门整体绩效评价指标体系。评价指标体系涵盖部门目标任务、预算投入管理、内部控制管理、人员管理、业务管理、部门履职情况、经济社会效益等内容。评价指标包括决策、过程、履职、效益和满意度五部分，指标体系整体框架包括5项一级指标，1</w:t>
      </w:r>
      <w:r>
        <w:rPr>
          <w:rFonts w:hint="eastAsia" w:ascii="Times New Roman" w:hAnsi="Times New Roman" w:eastAsia="方正仿宋_GBK"/>
        </w:rPr>
        <w:t>7</w:t>
      </w:r>
      <w:r>
        <w:rPr>
          <w:rFonts w:ascii="Times New Roman" w:hAnsi="Times New Roman" w:eastAsia="方正仿宋_GBK"/>
        </w:rPr>
        <w:t>项二级指标和</w:t>
      </w:r>
      <w:r>
        <w:rPr>
          <w:rFonts w:hint="eastAsia" w:ascii="Times New Roman" w:hAnsi="Times New Roman" w:eastAsia="方正仿宋_GBK"/>
        </w:rPr>
        <w:t>48</w:t>
      </w:r>
      <w:r>
        <w:rPr>
          <w:rFonts w:ascii="Times New Roman" w:hAnsi="Times New Roman" w:eastAsia="方正仿宋_GBK"/>
        </w:rPr>
        <w:t xml:space="preserve"> 项三级指标。重点在“部门履职”和“履职绩效”上，权重达60%。</w:t>
      </w:r>
    </w:p>
    <w:p w14:paraId="3611F546">
      <w:pPr>
        <w:spacing w:line="600" w:lineRule="exact"/>
        <w:ind w:firstLine="656"/>
        <w:rPr>
          <w:rFonts w:ascii="Times New Roman" w:hAnsi="Times New Roman" w:eastAsia="方正楷体_GBK"/>
        </w:rPr>
      </w:pPr>
      <w:r>
        <w:rPr>
          <w:rFonts w:ascii="Times New Roman" w:hAnsi="Times New Roman" w:eastAsia="方正楷体_GBK"/>
        </w:rPr>
        <w:t>（四）其他需要说明的问题</w:t>
      </w:r>
    </w:p>
    <w:p w14:paraId="3B95D731">
      <w:pPr>
        <w:spacing w:line="600" w:lineRule="exact"/>
        <w:ind w:firstLine="656"/>
        <w:sectPr>
          <w:headerReference r:id="rId12" w:type="default"/>
          <w:footerReference r:id="rId13" w:type="default"/>
          <w:pgSz w:w="11907" w:h="16840"/>
          <w:pgMar w:top="1247" w:right="1247" w:bottom="1247" w:left="1474" w:header="737" w:footer="1247" w:gutter="0"/>
          <w:pgNumType w:start="1"/>
          <w:cols w:space="720" w:num="1"/>
          <w:docGrid w:type="linesAndChars" w:linePitch="441" w:charSpace="1653"/>
        </w:sectPr>
      </w:pPr>
      <w:r>
        <w:rPr>
          <w:rFonts w:hint="eastAsia" w:ascii="Times New Roman" w:hAnsi="Times New Roman" w:eastAsia="方正仿宋_GBK"/>
        </w:rPr>
        <w:t>无</w:t>
      </w:r>
      <w:bookmarkEnd w:id="18"/>
      <w:bookmarkEnd w:id="19"/>
      <w:bookmarkEnd w:id="20"/>
      <w:bookmarkEnd w:id="21"/>
    </w:p>
    <w:bookmarkEnd w:id="0"/>
    <w:bookmarkEnd w:id="1"/>
    <w:bookmarkEnd w:id="2"/>
    <w:tbl>
      <w:tblPr>
        <w:tblStyle w:val="17"/>
        <w:tblW w:w="14817" w:type="dxa"/>
        <w:jc w:val="center"/>
        <w:tblLayout w:type="fixed"/>
        <w:tblCellMar>
          <w:top w:w="0" w:type="dxa"/>
          <w:left w:w="108" w:type="dxa"/>
          <w:bottom w:w="0" w:type="dxa"/>
          <w:right w:w="108" w:type="dxa"/>
        </w:tblCellMar>
      </w:tblPr>
      <w:tblGrid>
        <w:gridCol w:w="1324"/>
        <w:gridCol w:w="1187"/>
        <w:gridCol w:w="1440"/>
        <w:gridCol w:w="896"/>
        <w:gridCol w:w="992"/>
        <w:gridCol w:w="1843"/>
        <w:gridCol w:w="2126"/>
        <w:gridCol w:w="824"/>
        <w:gridCol w:w="4185"/>
      </w:tblGrid>
      <w:tr w14:paraId="413D37E4">
        <w:tblPrEx>
          <w:tblCellMar>
            <w:top w:w="0" w:type="dxa"/>
            <w:left w:w="108" w:type="dxa"/>
            <w:bottom w:w="0" w:type="dxa"/>
            <w:right w:w="108" w:type="dxa"/>
          </w:tblCellMar>
        </w:tblPrEx>
        <w:trPr>
          <w:trHeight w:val="743" w:hRule="atLeast"/>
          <w:jc w:val="center"/>
        </w:trPr>
        <w:tc>
          <w:tcPr>
            <w:tcW w:w="14817" w:type="dxa"/>
            <w:gridSpan w:val="9"/>
            <w:tcBorders>
              <w:top w:val="nil"/>
              <w:left w:val="nil"/>
              <w:bottom w:val="single" w:color="auto" w:sz="4" w:space="0"/>
              <w:right w:val="nil"/>
            </w:tcBorders>
            <w:noWrap/>
            <w:vAlign w:val="center"/>
          </w:tcPr>
          <w:p w14:paraId="08221B3D">
            <w:pPr>
              <w:spacing w:line="480" w:lineRule="exact"/>
              <w:ind w:firstLine="0" w:firstLineChars="0"/>
              <w:jc w:val="left"/>
              <w:rPr>
                <w:rFonts w:ascii="Times New Roman" w:hAnsi="Times New Roman" w:eastAsia="方正黑体_GBK"/>
                <w:kern w:val="0"/>
                <w:szCs w:val="32"/>
              </w:rPr>
            </w:pPr>
            <w:r>
              <w:rPr>
                <w:rFonts w:ascii="Times New Roman" w:hAnsi="Times New Roman" w:eastAsia="方正黑体_GBK"/>
                <w:kern w:val="0"/>
                <w:szCs w:val="32"/>
              </w:rPr>
              <w:t>附件</w:t>
            </w:r>
          </w:p>
          <w:p w14:paraId="0260E980">
            <w:pPr>
              <w:spacing w:line="480" w:lineRule="exact"/>
              <w:ind w:firstLine="0" w:firstLineChars="0"/>
              <w:jc w:val="center"/>
              <w:rPr>
                <w:rFonts w:ascii="Times New Roman" w:hAnsi="Times New Roman" w:eastAsia="宋体"/>
                <w:b/>
                <w:bCs/>
                <w:kern w:val="0"/>
                <w:sz w:val="36"/>
                <w:szCs w:val="36"/>
              </w:rPr>
            </w:pPr>
            <w:r>
              <w:rPr>
                <w:rFonts w:ascii="Times New Roman" w:hAnsi="Times New Roman" w:eastAsia="方正小标宋_GBK"/>
                <w:kern w:val="0"/>
                <w:sz w:val="36"/>
                <w:szCs w:val="36"/>
              </w:rPr>
              <w:t>202</w:t>
            </w:r>
            <w:r>
              <w:rPr>
                <w:rFonts w:hint="eastAsia" w:ascii="Times New Roman" w:hAnsi="Times New Roman" w:eastAsia="方正小标宋_GBK"/>
                <w:kern w:val="0"/>
                <w:sz w:val="36"/>
                <w:szCs w:val="36"/>
              </w:rPr>
              <w:t>5</w:t>
            </w:r>
            <w:r>
              <w:rPr>
                <w:rFonts w:ascii="Times New Roman" w:hAnsi="Times New Roman" w:eastAsia="方正小标宋_GBK"/>
                <w:kern w:val="0"/>
                <w:sz w:val="36"/>
                <w:szCs w:val="36"/>
              </w:rPr>
              <w:t>年南京市妇女联合会部门整体绩效评价评分表</w:t>
            </w:r>
          </w:p>
        </w:tc>
      </w:tr>
      <w:tr w14:paraId="663AF771">
        <w:tblPrEx>
          <w:tblCellMar>
            <w:top w:w="0" w:type="dxa"/>
            <w:left w:w="108" w:type="dxa"/>
            <w:bottom w:w="0" w:type="dxa"/>
            <w:right w:w="108" w:type="dxa"/>
          </w:tblCellMar>
        </w:tblPrEx>
        <w:trPr>
          <w:trHeight w:val="615" w:hRule="atLeast"/>
          <w:jc w:val="center"/>
        </w:trPr>
        <w:tc>
          <w:tcPr>
            <w:tcW w:w="1324" w:type="dxa"/>
            <w:tcBorders>
              <w:top w:val="single" w:color="auto" w:sz="4" w:space="0"/>
              <w:left w:val="single" w:color="auto" w:sz="4" w:space="0"/>
              <w:bottom w:val="single" w:color="auto" w:sz="4" w:space="0"/>
              <w:right w:val="single" w:color="auto" w:sz="4" w:space="0"/>
            </w:tcBorders>
            <w:vAlign w:val="center"/>
          </w:tcPr>
          <w:p w14:paraId="0D0DF2B5">
            <w:pPr>
              <w:spacing w:line="320" w:lineRule="exact"/>
              <w:ind w:firstLine="0" w:firstLineChars="0"/>
              <w:jc w:val="center"/>
              <w:rPr>
                <w:rFonts w:ascii="Times New Roman" w:hAnsi="Times New Roman" w:eastAsia="宋体"/>
                <w:b/>
                <w:bCs/>
                <w:kern w:val="0"/>
                <w:sz w:val="24"/>
                <w:szCs w:val="24"/>
              </w:rPr>
            </w:pPr>
            <w:r>
              <w:rPr>
                <w:rFonts w:ascii="Times New Roman" w:hAnsi="Times New Roman" w:eastAsia="宋体"/>
                <w:b/>
                <w:bCs/>
                <w:kern w:val="0"/>
                <w:sz w:val="24"/>
                <w:szCs w:val="24"/>
              </w:rPr>
              <w:t>一级指标</w:t>
            </w:r>
          </w:p>
        </w:tc>
        <w:tc>
          <w:tcPr>
            <w:tcW w:w="1187" w:type="dxa"/>
            <w:tcBorders>
              <w:top w:val="single" w:color="auto" w:sz="4" w:space="0"/>
              <w:left w:val="single" w:color="auto" w:sz="4" w:space="0"/>
              <w:bottom w:val="single" w:color="auto" w:sz="4" w:space="0"/>
              <w:right w:val="single" w:color="auto" w:sz="4" w:space="0"/>
            </w:tcBorders>
            <w:vAlign w:val="center"/>
          </w:tcPr>
          <w:p w14:paraId="578F92B1">
            <w:pPr>
              <w:spacing w:line="320" w:lineRule="exact"/>
              <w:ind w:firstLine="0" w:firstLineChars="0"/>
              <w:jc w:val="center"/>
              <w:rPr>
                <w:rFonts w:ascii="Times New Roman" w:hAnsi="Times New Roman" w:eastAsia="宋体"/>
                <w:b/>
                <w:bCs/>
                <w:kern w:val="0"/>
                <w:sz w:val="24"/>
                <w:szCs w:val="24"/>
              </w:rPr>
            </w:pPr>
            <w:r>
              <w:rPr>
                <w:rFonts w:ascii="Times New Roman" w:hAnsi="Times New Roman" w:eastAsia="宋体"/>
                <w:b/>
                <w:bCs/>
                <w:kern w:val="0"/>
                <w:sz w:val="24"/>
                <w:szCs w:val="24"/>
              </w:rPr>
              <w:t>二级指标</w:t>
            </w:r>
          </w:p>
        </w:tc>
        <w:tc>
          <w:tcPr>
            <w:tcW w:w="1440" w:type="dxa"/>
            <w:tcBorders>
              <w:top w:val="single" w:color="auto" w:sz="4" w:space="0"/>
              <w:left w:val="single" w:color="auto" w:sz="4" w:space="0"/>
              <w:bottom w:val="single" w:color="auto" w:sz="4" w:space="0"/>
              <w:right w:val="single" w:color="auto" w:sz="4" w:space="0"/>
            </w:tcBorders>
            <w:vAlign w:val="center"/>
          </w:tcPr>
          <w:p w14:paraId="697FDEC2">
            <w:pPr>
              <w:spacing w:line="320" w:lineRule="exact"/>
              <w:ind w:firstLine="0" w:firstLineChars="0"/>
              <w:jc w:val="center"/>
              <w:rPr>
                <w:rFonts w:ascii="Times New Roman" w:hAnsi="Times New Roman" w:eastAsia="宋体"/>
                <w:b/>
                <w:bCs/>
                <w:kern w:val="0"/>
                <w:sz w:val="24"/>
                <w:szCs w:val="24"/>
              </w:rPr>
            </w:pPr>
            <w:r>
              <w:rPr>
                <w:rFonts w:ascii="Times New Roman" w:hAnsi="Times New Roman" w:eastAsia="宋体"/>
                <w:b/>
                <w:bCs/>
                <w:kern w:val="0"/>
                <w:sz w:val="24"/>
                <w:szCs w:val="24"/>
              </w:rPr>
              <w:t>三级指标</w:t>
            </w:r>
          </w:p>
        </w:tc>
        <w:tc>
          <w:tcPr>
            <w:tcW w:w="896" w:type="dxa"/>
            <w:tcBorders>
              <w:top w:val="single" w:color="auto" w:sz="4" w:space="0"/>
              <w:left w:val="nil"/>
              <w:bottom w:val="single" w:color="auto" w:sz="4" w:space="0"/>
              <w:right w:val="single" w:color="auto" w:sz="4" w:space="0"/>
            </w:tcBorders>
            <w:vAlign w:val="center"/>
          </w:tcPr>
          <w:p w14:paraId="3C16BE5A">
            <w:pPr>
              <w:spacing w:line="320" w:lineRule="exact"/>
              <w:ind w:firstLine="0" w:firstLineChars="0"/>
              <w:jc w:val="center"/>
              <w:rPr>
                <w:rFonts w:ascii="Times New Roman" w:hAnsi="Times New Roman" w:eastAsia="宋体"/>
                <w:b/>
                <w:bCs/>
                <w:kern w:val="0"/>
                <w:sz w:val="24"/>
                <w:szCs w:val="24"/>
              </w:rPr>
            </w:pPr>
            <w:r>
              <w:rPr>
                <w:rFonts w:ascii="Times New Roman" w:hAnsi="Times New Roman" w:eastAsia="宋体"/>
                <w:b/>
                <w:bCs/>
                <w:kern w:val="0"/>
                <w:sz w:val="24"/>
                <w:szCs w:val="24"/>
              </w:rPr>
              <w:t>分值</w:t>
            </w:r>
          </w:p>
        </w:tc>
        <w:tc>
          <w:tcPr>
            <w:tcW w:w="992" w:type="dxa"/>
            <w:tcBorders>
              <w:top w:val="single" w:color="auto" w:sz="4" w:space="0"/>
              <w:left w:val="nil"/>
              <w:bottom w:val="single" w:color="auto" w:sz="4" w:space="0"/>
              <w:right w:val="single" w:color="auto" w:sz="4" w:space="0"/>
            </w:tcBorders>
            <w:vAlign w:val="center"/>
          </w:tcPr>
          <w:p w14:paraId="00B55C30">
            <w:pPr>
              <w:spacing w:line="320" w:lineRule="exact"/>
              <w:ind w:firstLine="0" w:firstLineChars="0"/>
              <w:jc w:val="center"/>
              <w:rPr>
                <w:rFonts w:ascii="Times New Roman" w:hAnsi="Times New Roman" w:eastAsia="宋体"/>
                <w:b/>
                <w:bCs/>
                <w:kern w:val="0"/>
                <w:sz w:val="24"/>
                <w:szCs w:val="24"/>
              </w:rPr>
            </w:pPr>
            <w:r>
              <w:rPr>
                <w:rFonts w:ascii="Times New Roman" w:hAnsi="Times New Roman" w:eastAsia="宋体"/>
                <w:b/>
                <w:bCs/>
                <w:kern w:val="0"/>
                <w:sz w:val="24"/>
                <w:szCs w:val="24"/>
              </w:rPr>
              <w:t>目标值</w:t>
            </w:r>
          </w:p>
        </w:tc>
        <w:tc>
          <w:tcPr>
            <w:tcW w:w="1843" w:type="dxa"/>
            <w:tcBorders>
              <w:top w:val="single" w:color="auto" w:sz="4" w:space="0"/>
              <w:left w:val="nil"/>
              <w:bottom w:val="single" w:color="auto" w:sz="4" w:space="0"/>
              <w:right w:val="single" w:color="auto" w:sz="4" w:space="0"/>
            </w:tcBorders>
            <w:vAlign w:val="center"/>
          </w:tcPr>
          <w:p w14:paraId="3C004B26">
            <w:pPr>
              <w:spacing w:line="320" w:lineRule="exact"/>
              <w:ind w:firstLine="0" w:firstLineChars="0"/>
              <w:jc w:val="center"/>
              <w:rPr>
                <w:rFonts w:ascii="Times New Roman" w:hAnsi="Times New Roman" w:eastAsia="宋体"/>
                <w:b/>
                <w:bCs/>
                <w:kern w:val="0"/>
                <w:sz w:val="24"/>
                <w:szCs w:val="24"/>
              </w:rPr>
            </w:pPr>
            <w:r>
              <w:rPr>
                <w:rFonts w:ascii="Times New Roman" w:hAnsi="Times New Roman" w:eastAsia="宋体"/>
                <w:b/>
                <w:bCs/>
                <w:kern w:val="0"/>
                <w:sz w:val="24"/>
                <w:szCs w:val="24"/>
              </w:rPr>
              <w:t>指标解释</w:t>
            </w:r>
          </w:p>
        </w:tc>
        <w:tc>
          <w:tcPr>
            <w:tcW w:w="2126" w:type="dxa"/>
            <w:tcBorders>
              <w:top w:val="single" w:color="auto" w:sz="4" w:space="0"/>
              <w:left w:val="nil"/>
              <w:bottom w:val="single" w:color="auto" w:sz="4" w:space="0"/>
              <w:right w:val="single" w:color="auto" w:sz="4" w:space="0"/>
            </w:tcBorders>
            <w:vAlign w:val="center"/>
          </w:tcPr>
          <w:p w14:paraId="0717160D">
            <w:pPr>
              <w:spacing w:line="320" w:lineRule="exact"/>
              <w:ind w:firstLine="0" w:firstLineChars="0"/>
              <w:jc w:val="center"/>
              <w:rPr>
                <w:rFonts w:ascii="Times New Roman" w:hAnsi="Times New Roman" w:eastAsia="宋体"/>
                <w:b/>
                <w:bCs/>
                <w:kern w:val="0"/>
                <w:sz w:val="24"/>
                <w:szCs w:val="24"/>
              </w:rPr>
            </w:pPr>
            <w:r>
              <w:rPr>
                <w:rFonts w:ascii="Times New Roman" w:hAnsi="Times New Roman" w:eastAsia="宋体"/>
                <w:b/>
                <w:bCs/>
                <w:kern w:val="0"/>
                <w:sz w:val="24"/>
                <w:szCs w:val="24"/>
              </w:rPr>
              <w:t>评分说明</w:t>
            </w:r>
          </w:p>
        </w:tc>
        <w:tc>
          <w:tcPr>
            <w:tcW w:w="824" w:type="dxa"/>
            <w:tcBorders>
              <w:top w:val="single" w:color="auto" w:sz="4" w:space="0"/>
              <w:left w:val="nil"/>
              <w:bottom w:val="single" w:color="auto" w:sz="4" w:space="0"/>
              <w:right w:val="single" w:color="auto" w:sz="4" w:space="0"/>
            </w:tcBorders>
            <w:vAlign w:val="center"/>
          </w:tcPr>
          <w:p w14:paraId="3AF16B85">
            <w:pPr>
              <w:spacing w:line="320" w:lineRule="exact"/>
              <w:ind w:firstLine="0" w:firstLineChars="0"/>
              <w:jc w:val="center"/>
              <w:rPr>
                <w:rFonts w:ascii="Times New Roman" w:hAnsi="Times New Roman" w:eastAsia="宋体"/>
                <w:b/>
                <w:bCs/>
                <w:kern w:val="0"/>
                <w:sz w:val="24"/>
                <w:szCs w:val="24"/>
              </w:rPr>
            </w:pPr>
            <w:r>
              <w:rPr>
                <w:rFonts w:ascii="Times New Roman" w:hAnsi="Times New Roman" w:eastAsia="宋体"/>
                <w:b/>
                <w:bCs/>
                <w:kern w:val="0"/>
                <w:sz w:val="24"/>
                <w:szCs w:val="24"/>
              </w:rPr>
              <w:t>得分</w:t>
            </w:r>
          </w:p>
        </w:tc>
        <w:tc>
          <w:tcPr>
            <w:tcW w:w="4185" w:type="dxa"/>
            <w:tcBorders>
              <w:top w:val="single" w:color="auto" w:sz="4" w:space="0"/>
              <w:left w:val="nil"/>
              <w:bottom w:val="single" w:color="auto" w:sz="4" w:space="0"/>
              <w:right w:val="single" w:color="auto" w:sz="4" w:space="0"/>
            </w:tcBorders>
            <w:vAlign w:val="center"/>
          </w:tcPr>
          <w:p w14:paraId="2F8FFB23">
            <w:pPr>
              <w:spacing w:line="320" w:lineRule="exact"/>
              <w:ind w:firstLine="0" w:firstLineChars="0"/>
              <w:jc w:val="center"/>
              <w:rPr>
                <w:rFonts w:ascii="Times New Roman" w:hAnsi="Times New Roman" w:eastAsia="宋体"/>
                <w:b/>
                <w:bCs/>
                <w:kern w:val="0"/>
                <w:sz w:val="24"/>
                <w:szCs w:val="24"/>
              </w:rPr>
            </w:pPr>
            <w:r>
              <w:rPr>
                <w:rFonts w:ascii="Times New Roman" w:hAnsi="Times New Roman" w:eastAsia="宋体"/>
                <w:b/>
                <w:bCs/>
                <w:kern w:val="0"/>
                <w:sz w:val="24"/>
                <w:szCs w:val="24"/>
              </w:rPr>
              <w:t>评分依据</w:t>
            </w:r>
          </w:p>
        </w:tc>
      </w:tr>
      <w:tr w14:paraId="434DA3C4">
        <w:tblPrEx>
          <w:tblCellMar>
            <w:top w:w="0" w:type="dxa"/>
            <w:left w:w="108" w:type="dxa"/>
            <w:bottom w:w="0" w:type="dxa"/>
            <w:right w:w="108" w:type="dxa"/>
          </w:tblCellMar>
        </w:tblPrEx>
        <w:trPr>
          <w:trHeight w:val="1200" w:hRule="atLeast"/>
          <w:jc w:val="center"/>
        </w:trPr>
        <w:tc>
          <w:tcPr>
            <w:tcW w:w="1324" w:type="dxa"/>
            <w:vMerge w:val="restart"/>
            <w:tcBorders>
              <w:top w:val="single" w:color="auto" w:sz="4" w:space="0"/>
              <w:left w:val="single" w:color="auto" w:sz="4" w:space="0"/>
              <w:bottom w:val="single" w:color="auto" w:sz="4" w:space="0"/>
              <w:right w:val="single" w:color="auto" w:sz="4" w:space="0"/>
            </w:tcBorders>
            <w:vAlign w:val="center"/>
          </w:tcPr>
          <w:p w14:paraId="207FB78A">
            <w:pPr>
              <w:spacing w:line="36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A部门决策（15分）</w:t>
            </w:r>
          </w:p>
        </w:tc>
        <w:tc>
          <w:tcPr>
            <w:tcW w:w="1187" w:type="dxa"/>
            <w:tcBorders>
              <w:top w:val="single" w:color="auto" w:sz="4" w:space="0"/>
              <w:left w:val="single" w:color="auto" w:sz="4" w:space="0"/>
              <w:bottom w:val="single" w:color="auto" w:sz="4" w:space="0"/>
              <w:right w:val="single" w:color="auto" w:sz="4" w:space="0"/>
            </w:tcBorders>
            <w:vAlign w:val="center"/>
          </w:tcPr>
          <w:p w14:paraId="73FE4368">
            <w:pPr>
              <w:spacing w:line="36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A1决策机制</w:t>
            </w:r>
          </w:p>
          <w:p w14:paraId="193E9780">
            <w:pPr>
              <w:spacing w:line="36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（3分）</w:t>
            </w:r>
          </w:p>
        </w:tc>
        <w:tc>
          <w:tcPr>
            <w:tcW w:w="1440" w:type="dxa"/>
            <w:tcBorders>
              <w:top w:val="single" w:color="auto" w:sz="4" w:space="0"/>
              <w:left w:val="single" w:color="auto" w:sz="4" w:space="0"/>
              <w:bottom w:val="single" w:color="auto" w:sz="4" w:space="0"/>
              <w:right w:val="single" w:color="auto" w:sz="4" w:space="0"/>
            </w:tcBorders>
            <w:vAlign w:val="center"/>
          </w:tcPr>
          <w:p w14:paraId="48BA2738">
            <w:pPr>
              <w:spacing w:line="36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A11决策程序的科学规范性</w:t>
            </w:r>
          </w:p>
        </w:tc>
        <w:tc>
          <w:tcPr>
            <w:tcW w:w="896" w:type="dxa"/>
            <w:tcBorders>
              <w:top w:val="single" w:color="auto" w:sz="4" w:space="0"/>
              <w:left w:val="nil"/>
              <w:bottom w:val="single" w:color="auto" w:sz="4" w:space="0"/>
              <w:right w:val="single" w:color="auto" w:sz="4" w:space="0"/>
            </w:tcBorders>
            <w:vAlign w:val="center"/>
          </w:tcPr>
          <w:p w14:paraId="56E1C27A">
            <w:pPr>
              <w:spacing w:line="36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3</w:t>
            </w:r>
          </w:p>
        </w:tc>
        <w:tc>
          <w:tcPr>
            <w:tcW w:w="992" w:type="dxa"/>
            <w:tcBorders>
              <w:top w:val="single" w:color="auto" w:sz="4" w:space="0"/>
              <w:left w:val="nil"/>
              <w:bottom w:val="single" w:color="auto" w:sz="4" w:space="0"/>
              <w:right w:val="single" w:color="auto" w:sz="4" w:space="0"/>
            </w:tcBorders>
            <w:vAlign w:val="center"/>
          </w:tcPr>
          <w:p w14:paraId="7FAED4B2">
            <w:pPr>
              <w:spacing w:line="36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科学规范性</w:t>
            </w:r>
          </w:p>
        </w:tc>
        <w:tc>
          <w:tcPr>
            <w:tcW w:w="1843" w:type="dxa"/>
            <w:tcBorders>
              <w:top w:val="single" w:color="auto" w:sz="4" w:space="0"/>
              <w:left w:val="nil"/>
              <w:bottom w:val="single" w:color="auto" w:sz="4" w:space="0"/>
              <w:right w:val="single" w:color="auto" w:sz="4" w:space="0"/>
            </w:tcBorders>
            <w:vAlign w:val="center"/>
          </w:tcPr>
          <w:p w14:paraId="77C67062">
            <w:pPr>
              <w:spacing w:line="30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考核部门是否建立了关于重大经济活动、重大资金安排的决策制度，决策制度是否科学可行；上述决策流程设计是否规范合理</w:t>
            </w:r>
          </w:p>
        </w:tc>
        <w:tc>
          <w:tcPr>
            <w:tcW w:w="2126" w:type="dxa"/>
            <w:tcBorders>
              <w:top w:val="single" w:color="auto" w:sz="4" w:space="0"/>
              <w:left w:val="nil"/>
              <w:bottom w:val="single" w:color="auto" w:sz="4" w:space="0"/>
              <w:right w:val="single" w:color="auto" w:sz="4" w:space="0"/>
            </w:tcBorders>
            <w:vAlign w:val="center"/>
          </w:tcPr>
          <w:p w14:paraId="0BBDD00A">
            <w:pPr>
              <w:spacing w:line="36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部门决策制度已建立得1分；科学可行得1分；部门决策流程设计规范合理得1分；否则不得分。</w:t>
            </w:r>
          </w:p>
        </w:tc>
        <w:tc>
          <w:tcPr>
            <w:tcW w:w="824" w:type="dxa"/>
            <w:tcBorders>
              <w:top w:val="single" w:color="auto" w:sz="4" w:space="0"/>
              <w:left w:val="nil"/>
              <w:bottom w:val="single" w:color="auto" w:sz="4" w:space="0"/>
              <w:right w:val="single" w:color="auto" w:sz="4" w:space="0"/>
            </w:tcBorders>
            <w:vAlign w:val="center"/>
          </w:tcPr>
          <w:p w14:paraId="4809DE01">
            <w:pPr>
              <w:spacing w:line="36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3</w:t>
            </w:r>
          </w:p>
        </w:tc>
        <w:tc>
          <w:tcPr>
            <w:tcW w:w="4185" w:type="dxa"/>
            <w:tcBorders>
              <w:top w:val="single" w:color="auto" w:sz="4" w:space="0"/>
              <w:left w:val="nil"/>
              <w:bottom w:val="single" w:color="auto" w:sz="4" w:space="0"/>
              <w:right w:val="single" w:color="auto" w:sz="4" w:space="0"/>
            </w:tcBorders>
            <w:vAlign w:val="center"/>
          </w:tcPr>
          <w:p w14:paraId="3585765E">
            <w:pPr>
              <w:spacing w:line="30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制订了《南京市妇联党组会议事规则》《南京市妇联党组“三重一大”议事规则》《南京市妇联主席办公会议事规则》等一系列健全的集体决策制度，进一步规范了决策行为。部门决策机制对议事范围、议事规则、议事程序、执行和监督流程均作明确的规定，部门决策科学，流程设计规范。</w:t>
            </w:r>
          </w:p>
        </w:tc>
      </w:tr>
      <w:tr w14:paraId="37A49B68">
        <w:tblPrEx>
          <w:tblCellMar>
            <w:top w:w="0" w:type="dxa"/>
            <w:left w:w="108" w:type="dxa"/>
            <w:bottom w:w="0" w:type="dxa"/>
            <w:right w:w="108" w:type="dxa"/>
          </w:tblCellMar>
        </w:tblPrEx>
        <w:trPr>
          <w:trHeight w:val="90" w:hRule="atLeast"/>
          <w:jc w:val="center"/>
        </w:trPr>
        <w:tc>
          <w:tcPr>
            <w:tcW w:w="1324" w:type="dxa"/>
            <w:vMerge w:val="continue"/>
            <w:tcBorders>
              <w:top w:val="single" w:color="auto" w:sz="4" w:space="0"/>
              <w:left w:val="single" w:color="auto" w:sz="4" w:space="0"/>
              <w:bottom w:val="single" w:color="auto" w:sz="4" w:space="0"/>
              <w:right w:val="single" w:color="auto" w:sz="4" w:space="0"/>
            </w:tcBorders>
            <w:vAlign w:val="center"/>
          </w:tcPr>
          <w:p w14:paraId="76831170">
            <w:pPr>
              <w:spacing w:line="360" w:lineRule="exact"/>
              <w:ind w:firstLine="0" w:firstLineChars="0"/>
              <w:jc w:val="left"/>
              <w:rPr>
                <w:rFonts w:ascii="Times New Roman" w:hAnsi="Times New Roman" w:eastAsia="宋体"/>
                <w:kern w:val="0"/>
                <w:sz w:val="24"/>
                <w:szCs w:val="24"/>
              </w:rPr>
            </w:pPr>
          </w:p>
        </w:tc>
        <w:tc>
          <w:tcPr>
            <w:tcW w:w="1187" w:type="dxa"/>
            <w:tcBorders>
              <w:top w:val="single" w:color="auto" w:sz="4" w:space="0"/>
              <w:left w:val="single" w:color="auto" w:sz="4" w:space="0"/>
              <w:bottom w:val="single" w:color="auto" w:sz="4" w:space="0"/>
              <w:right w:val="single" w:color="auto" w:sz="4" w:space="0"/>
            </w:tcBorders>
            <w:vAlign w:val="center"/>
          </w:tcPr>
          <w:p w14:paraId="411A5B89">
            <w:pPr>
              <w:spacing w:line="36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A2中长期目标</w:t>
            </w:r>
          </w:p>
          <w:p w14:paraId="3E281D24">
            <w:pPr>
              <w:spacing w:line="36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（4分）</w:t>
            </w:r>
          </w:p>
        </w:tc>
        <w:tc>
          <w:tcPr>
            <w:tcW w:w="1440" w:type="dxa"/>
            <w:tcBorders>
              <w:top w:val="single" w:color="auto" w:sz="4" w:space="0"/>
              <w:left w:val="single" w:color="auto" w:sz="4" w:space="0"/>
              <w:bottom w:val="single" w:color="auto" w:sz="4" w:space="0"/>
              <w:right w:val="single" w:color="auto" w:sz="4" w:space="0"/>
            </w:tcBorders>
            <w:vAlign w:val="center"/>
          </w:tcPr>
          <w:p w14:paraId="7E3A7D6C">
            <w:pPr>
              <w:spacing w:line="36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A21中长期目标明确性</w:t>
            </w:r>
          </w:p>
        </w:tc>
        <w:tc>
          <w:tcPr>
            <w:tcW w:w="896" w:type="dxa"/>
            <w:tcBorders>
              <w:top w:val="single" w:color="auto" w:sz="4" w:space="0"/>
              <w:left w:val="nil"/>
              <w:bottom w:val="single" w:color="auto" w:sz="4" w:space="0"/>
              <w:right w:val="single" w:color="auto" w:sz="4" w:space="0"/>
            </w:tcBorders>
            <w:vAlign w:val="center"/>
          </w:tcPr>
          <w:p w14:paraId="3B5B5284">
            <w:pPr>
              <w:spacing w:line="36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992" w:type="dxa"/>
            <w:tcBorders>
              <w:top w:val="single" w:color="auto" w:sz="4" w:space="0"/>
              <w:left w:val="nil"/>
              <w:bottom w:val="single" w:color="auto" w:sz="4" w:space="0"/>
              <w:right w:val="single" w:color="auto" w:sz="4" w:space="0"/>
            </w:tcBorders>
            <w:vAlign w:val="center"/>
          </w:tcPr>
          <w:p w14:paraId="6C487099">
            <w:pPr>
              <w:spacing w:line="36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明确</w:t>
            </w:r>
          </w:p>
        </w:tc>
        <w:tc>
          <w:tcPr>
            <w:tcW w:w="1843" w:type="dxa"/>
            <w:tcBorders>
              <w:top w:val="single" w:color="auto" w:sz="4" w:space="0"/>
              <w:left w:val="nil"/>
              <w:bottom w:val="single" w:color="auto" w:sz="4" w:space="0"/>
              <w:right w:val="single" w:color="auto" w:sz="4" w:space="0"/>
            </w:tcBorders>
            <w:vAlign w:val="center"/>
          </w:tcPr>
          <w:p w14:paraId="02B688FB">
            <w:pPr>
              <w:spacing w:line="36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部门是否具有明确的中长期目标</w:t>
            </w:r>
          </w:p>
        </w:tc>
        <w:tc>
          <w:tcPr>
            <w:tcW w:w="2126" w:type="dxa"/>
            <w:tcBorders>
              <w:top w:val="single" w:color="auto" w:sz="4" w:space="0"/>
              <w:left w:val="nil"/>
              <w:bottom w:val="single" w:color="auto" w:sz="4" w:space="0"/>
              <w:right w:val="single" w:color="auto" w:sz="4" w:space="0"/>
            </w:tcBorders>
            <w:vAlign w:val="center"/>
          </w:tcPr>
          <w:p w14:paraId="0ACB6AD2">
            <w:pPr>
              <w:spacing w:line="36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部门中长期目标明确得1分，完整得1分，否则不得分。</w:t>
            </w:r>
          </w:p>
        </w:tc>
        <w:tc>
          <w:tcPr>
            <w:tcW w:w="824" w:type="dxa"/>
            <w:tcBorders>
              <w:top w:val="single" w:color="auto" w:sz="4" w:space="0"/>
              <w:left w:val="nil"/>
              <w:bottom w:val="single" w:color="auto" w:sz="4" w:space="0"/>
              <w:right w:val="single" w:color="auto" w:sz="4" w:space="0"/>
            </w:tcBorders>
            <w:vAlign w:val="center"/>
          </w:tcPr>
          <w:p w14:paraId="27A21DDD">
            <w:pPr>
              <w:spacing w:line="36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4185" w:type="dxa"/>
            <w:tcBorders>
              <w:top w:val="single" w:color="auto" w:sz="4" w:space="0"/>
              <w:left w:val="nil"/>
              <w:bottom w:val="single" w:color="auto" w:sz="4" w:space="0"/>
              <w:right w:val="single" w:color="auto" w:sz="4" w:space="0"/>
            </w:tcBorders>
            <w:vAlign w:val="center"/>
          </w:tcPr>
          <w:p w14:paraId="0F7E4BD6">
            <w:pPr>
              <w:spacing w:line="30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部门有明确完整的中长期目标，围绕立足新发展阶段、贯彻新发展理念、构建新发展格局、推动高质量发展，围绕保障和改善民生，落实“十四五”规划纲要作出的战略部署、明确的目标任务，立足妇联组织的职能和优势，深入贯彻落实男女平等基本国策和儿童优先原则，促进妇女儿童和家庭的全面发展，推动中国妇女、儿童发展纲要（2021-2030）、江苏省妇女、儿童发展规划（2021-2025）和南京市妇女、儿童发展规划（2021-2025）在“十四五”时期各项策略措施落地落实。</w:t>
            </w:r>
          </w:p>
        </w:tc>
      </w:tr>
      <w:tr w14:paraId="13585AA2">
        <w:tblPrEx>
          <w:tblCellMar>
            <w:top w:w="0" w:type="dxa"/>
            <w:left w:w="108" w:type="dxa"/>
            <w:bottom w:w="0" w:type="dxa"/>
            <w:right w:w="108" w:type="dxa"/>
          </w:tblCellMar>
        </w:tblPrEx>
        <w:trPr>
          <w:trHeight w:val="480" w:hRule="atLeast"/>
          <w:jc w:val="center"/>
        </w:trPr>
        <w:tc>
          <w:tcPr>
            <w:tcW w:w="1324" w:type="dxa"/>
            <w:vMerge w:val="restart"/>
            <w:tcBorders>
              <w:top w:val="single" w:color="auto" w:sz="4" w:space="0"/>
              <w:left w:val="single" w:color="auto" w:sz="4" w:space="0"/>
              <w:bottom w:val="single" w:color="auto" w:sz="4" w:space="0"/>
              <w:right w:val="single" w:color="auto" w:sz="4" w:space="0"/>
            </w:tcBorders>
            <w:vAlign w:val="center"/>
          </w:tcPr>
          <w:p w14:paraId="40C8F47C">
            <w:pPr>
              <w:spacing w:line="36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A部门决策（15分）</w:t>
            </w:r>
          </w:p>
        </w:tc>
        <w:tc>
          <w:tcPr>
            <w:tcW w:w="1187" w:type="dxa"/>
            <w:tcBorders>
              <w:top w:val="single" w:color="auto" w:sz="4" w:space="0"/>
              <w:left w:val="single" w:color="auto" w:sz="4" w:space="0"/>
              <w:bottom w:val="single" w:color="auto" w:sz="4" w:space="0"/>
              <w:right w:val="single" w:color="auto" w:sz="4" w:space="0"/>
            </w:tcBorders>
            <w:vAlign w:val="center"/>
          </w:tcPr>
          <w:p w14:paraId="7FADC907">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A2中长期目标</w:t>
            </w:r>
          </w:p>
          <w:p w14:paraId="4C1D3A72">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（4分）</w:t>
            </w:r>
          </w:p>
        </w:tc>
        <w:tc>
          <w:tcPr>
            <w:tcW w:w="1440" w:type="dxa"/>
            <w:tcBorders>
              <w:top w:val="single" w:color="auto" w:sz="4" w:space="0"/>
              <w:left w:val="single" w:color="auto" w:sz="4" w:space="0"/>
              <w:bottom w:val="single" w:color="auto" w:sz="4" w:space="0"/>
              <w:right w:val="single" w:color="auto" w:sz="4" w:space="0"/>
            </w:tcBorders>
            <w:vAlign w:val="center"/>
          </w:tcPr>
          <w:p w14:paraId="18F93509">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A22中长期目标与部门职能的匹配性</w:t>
            </w:r>
          </w:p>
        </w:tc>
        <w:tc>
          <w:tcPr>
            <w:tcW w:w="896" w:type="dxa"/>
            <w:tcBorders>
              <w:top w:val="single" w:color="auto" w:sz="4" w:space="0"/>
              <w:left w:val="nil"/>
              <w:bottom w:val="single" w:color="auto" w:sz="4" w:space="0"/>
              <w:right w:val="single" w:color="auto" w:sz="4" w:space="0"/>
            </w:tcBorders>
            <w:vAlign w:val="center"/>
          </w:tcPr>
          <w:p w14:paraId="343B3DAB">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992" w:type="dxa"/>
            <w:tcBorders>
              <w:top w:val="single" w:color="auto" w:sz="4" w:space="0"/>
              <w:left w:val="nil"/>
              <w:bottom w:val="single" w:color="auto" w:sz="4" w:space="0"/>
              <w:right w:val="single" w:color="auto" w:sz="4" w:space="0"/>
            </w:tcBorders>
            <w:vAlign w:val="center"/>
          </w:tcPr>
          <w:p w14:paraId="33D5E46E">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匹配</w:t>
            </w:r>
          </w:p>
        </w:tc>
        <w:tc>
          <w:tcPr>
            <w:tcW w:w="1843" w:type="dxa"/>
            <w:tcBorders>
              <w:top w:val="single" w:color="auto" w:sz="4" w:space="0"/>
              <w:left w:val="nil"/>
              <w:bottom w:val="single" w:color="auto" w:sz="4" w:space="0"/>
              <w:right w:val="single" w:color="auto" w:sz="4" w:space="0"/>
            </w:tcBorders>
            <w:vAlign w:val="center"/>
          </w:tcPr>
          <w:p w14:paraId="0BCC52BA">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部门中长期目标是否与部门职能相匹配</w:t>
            </w:r>
          </w:p>
        </w:tc>
        <w:tc>
          <w:tcPr>
            <w:tcW w:w="2126" w:type="dxa"/>
            <w:tcBorders>
              <w:top w:val="single" w:color="auto" w:sz="4" w:space="0"/>
              <w:left w:val="nil"/>
              <w:bottom w:val="single" w:color="auto" w:sz="4" w:space="0"/>
              <w:right w:val="single" w:color="auto" w:sz="4" w:space="0"/>
            </w:tcBorders>
            <w:vAlign w:val="center"/>
          </w:tcPr>
          <w:p w14:paraId="1EB63317">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中长期目标与部门职能匹配得2分，否则不得分。</w:t>
            </w:r>
          </w:p>
        </w:tc>
        <w:tc>
          <w:tcPr>
            <w:tcW w:w="824" w:type="dxa"/>
            <w:tcBorders>
              <w:top w:val="single" w:color="auto" w:sz="4" w:space="0"/>
              <w:left w:val="nil"/>
              <w:bottom w:val="single" w:color="auto" w:sz="4" w:space="0"/>
              <w:right w:val="single" w:color="auto" w:sz="4" w:space="0"/>
            </w:tcBorders>
            <w:vAlign w:val="center"/>
          </w:tcPr>
          <w:p w14:paraId="601D8BAB">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4185" w:type="dxa"/>
            <w:tcBorders>
              <w:top w:val="single" w:color="auto" w:sz="4" w:space="0"/>
              <w:left w:val="nil"/>
              <w:bottom w:val="single" w:color="auto" w:sz="4" w:space="0"/>
              <w:right w:val="single" w:color="auto" w:sz="4" w:space="0"/>
            </w:tcBorders>
            <w:vAlign w:val="center"/>
          </w:tcPr>
          <w:p w14:paraId="532B3B84">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中长期目标与三定方案中的部门职能匹配，符合党中央和国务院的决策部署。</w:t>
            </w:r>
          </w:p>
        </w:tc>
      </w:tr>
      <w:tr w14:paraId="32B7DBC8">
        <w:tblPrEx>
          <w:tblCellMar>
            <w:top w:w="0" w:type="dxa"/>
            <w:left w:w="108" w:type="dxa"/>
            <w:bottom w:w="0" w:type="dxa"/>
            <w:right w:w="108" w:type="dxa"/>
          </w:tblCellMar>
        </w:tblPrEx>
        <w:trPr>
          <w:trHeight w:val="720" w:hRule="atLeast"/>
          <w:jc w:val="center"/>
        </w:trPr>
        <w:tc>
          <w:tcPr>
            <w:tcW w:w="1324" w:type="dxa"/>
            <w:vMerge w:val="continue"/>
            <w:tcBorders>
              <w:top w:val="single" w:color="auto" w:sz="4" w:space="0"/>
              <w:left w:val="single" w:color="auto" w:sz="4" w:space="0"/>
              <w:bottom w:val="single" w:color="auto" w:sz="4" w:space="0"/>
              <w:right w:val="single" w:color="auto" w:sz="4" w:space="0"/>
            </w:tcBorders>
            <w:vAlign w:val="center"/>
          </w:tcPr>
          <w:p w14:paraId="03A846A2">
            <w:pPr>
              <w:spacing w:line="360" w:lineRule="exact"/>
              <w:ind w:firstLine="0" w:firstLineChars="0"/>
              <w:jc w:val="left"/>
              <w:rPr>
                <w:rFonts w:ascii="Times New Roman" w:hAnsi="Times New Roman" w:eastAsia="宋体"/>
                <w:kern w:val="0"/>
                <w:sz w:val="24"/>
                <w:szCs w:val="24"/>
              </w:rPr>
            </w:pPr>
          </w:p>
        </w:tc>
        <w:tc>
          <w:tcPr>
            <w:tcW w:w="1187" w:type="dxa"/>
            <w:vMerge w:val="restart"/>
            <w:tcBorders>
              <w:top w:val="single" w:color="auto" w:sz="4" w:space="0"/>
              <w:left w:val="single" w:color="auto" w:sz="4" w:space="0"/>
              <w:bottom w:val="single" w:color="auto" w:sz="4" w:space="0"/>
              <w:right w:val="single" w:color="auto" w:sz="4" w:space="0"/>
            </w:tcBorders>
            <w:vAlign w:val="center"/>
          </w:tcPr>
          <w:p w14:paraId="43068A68">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A3年度工作目标</w:t>
            </w:r>
          </w:p>
          <w:p w14:paraId="6240398E">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（4分）</w:t>
            </w:r>
          </w:p>
        </w:tc>
        <w:tc>
          <w:tcPr>
            <w:tcW w:w="1440" w:type="dxa"/>
            <w:tcBorders>
              <w:top w:val="single" w:color="auto" w:sz="4" w:space="0"/>
              <w:left w:val="single" w:color="auto" w:sz="4" w:space="0"/>
              <w:bottom w:val="single" w:color="auto" w:sz="4" w:space="0"/>
              <w:right w:val="single" w:color="auto" w:sz="4" w:space="0"/>
            </w:tcBorders>
            <w:vAlign w:val="center"/>
          </w:tcPr>
          <w:p w14:paraId="59267413">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A31年度工作目标明确性</w:t>
            </w:r>
          </w:p>
        </w:tc>
        <w:tc>
          <w:tcPr>
            <w:tcW w:w="896" w:type="dxa"/>
            <w:tcBorders>
              <w:top w:val="single" w:color="auto" w:sz="4" w:space="0"/>
              <w:left w:val="nil"/>
              <w:bottom w:val="single" w:color="auto" w:sz="4" w:space="0"/>
              <w:right w:val="single" w:color="auto" w:sz="4" w:space="0"/>
            </w:tcBorders>
            <w:vAlign w:val="center"/>
          </w:tcPr>
          <w:p w14:paraId="1E23C93A">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992" w:type="dxa"/>
            <w:tcBorders>
              <w:top w:val="single" w:color="auto" w:sz="4" w:space="0"/>
              <w:left w:val="nil"/>
              <w:bottom w:val="single" w:color="auto" w:sz="4" w:space="0"/>
              <w:right w:val="single" w:color="auto" w:sz="4" w:space="0"/>
            </w:tcBorders>
            <w:vAlign w:val="center"/>
          </w:tcPr>
          <w:p w14:paraId="4AC930AA">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具体</w:t>
            </w:r>
          </w:p>
        </w:tc>
        <w:tc>
          <w:tcPr>
            <w:tcW w:w="1843" w:type="dxa"/>
            <w:tcBorders>
              <w:top w:val="single" w:color="auto" w:sz="4" w:space="0"/>
              <w:left w:val="nil"/>
              <w:bottom w:val="single" w:color="auto" w:sz="4" w:space="0"/>
              <w:right w:val="single" w:color="auto" w:sz="4" w:space="0"/>
            </w:tcBorders>
            <w:vAlign w:val="center"/>
          </w:tcPr>
          <w:p w14:paraId="1863963E">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部门是否具有具体的年度工作目标</w:t>
            </w:r>
          </w:p>
        </w:tc>
        <w:tc>
          <w:tcPr>
            <w:tcW w:w="2126" w:type="dxa"/>
            <w:tcBorders>
              <w:top w:val="single" w:color="auto" w:sz="4" w:space="0"/>
              <w:left w:val="nil"/>
              <w:bottom w:val="single" w:color="auto" w:sz="4" w:space="0"/>
              <w:right w:val="single" w:color="auto" w:sz="4" w:space="0"/>
            </w:tcBorders>
            <w:vAlign w:val="center"/>
          </w:tcPr>
          <w:p w14:paraId="22FA32B3">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年度工作目标具体得1分，完整得1分。</w:t>
            </w:r>
          </w:p>
        </w:tc>
        <w:tc>
          <w:tcPr>
            <w:tcW w:w="824" w:type="dxa"/>
            <w:tcBorders>
              <w:top w:val="single" w:color="auto" w:sz="4" w:space="0"/>
              <w:left w:val="nil"/>
              <w:bottom w:val="single" w:color="auto" w:sz="4" w:space="0"/>
              <w:right w:val="single" w:color="auto" w:sz="4" w:space="0"/>
            </w:tcBorders>
            <w:vAlign w:val="center"/>
          </w:tcPr>
          <w:p w14:paraId="0A4E9800">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4185" w:type="dxa"/>
            <w:tcBorders>
              <w:top w:val="single" w:color="auto" w:sz="4" w:space="0"/>
              <w:left w:val="nil"/>
              <w:bottom w:val="single" w:color="auto" w:sz="4" w:space="0"/>
              <w:right w:val="single" w:color="auto" w:sz="4" w:space="0"/>
            </w:tcBorders>
            <w:vAlign w:val="center"/>
          </w:tcPr>
          <w:p w14:paraId="04AC9319">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部门设置的年度工作目标内容具体完整。</w:t>
            </w:r>
          </w:p>
        </w:tc>
      </w:tr>
      <w:tr w14:paraId="531AB340">
        <w:tblPrEx>
          <w:tblCellMar>
            <w:top w:w="0" w:type="dxa"/>
            <w:left w:w="108" w:type="dxa"/>
            <w:bottom w:w="0" w:type="dxa"/>
            <w:right w:w="108" w:type="dxa"/>
          </w:tblCellMar>
        </w:tblPrEx>
        <w:trPr>
          <w:trHeight w:val="720" w:hRule="atLeast"/>
          <w:jc w:val="center"/>
        </w:trPr>
        <w:tc>
          <w:tcPr>
            <w:tcW w:w="1324" w:type="dxa"/>
            <w:vMerge w:val="continue"/>
            <w:tcBorders>
              <w:top w:val="single" w:color="auto" w:sz="4" w:space="0"/>
              <w:left w:val="single" w:color="auto" w:sz="4" w:space="0"/>
              <w:bottom w:val="single" w:color="auto" w:sz="4" w:space="0"/>
              <w:right w:val="single" w:color="auto" w:sz="4" w:space="0"/>
            </w:tcBorders>
            <w:vAlign w:val="center"/>
          </w:tcPr>
          <w:p w14:paraId="0B6E97CA">
            <w:pPr>
              <w:spacing w:line="360" w:lineRule="exact"/>
              <w:ind w:firstLine="0" w:firstLineChars="0"/>
              <w:jc w:val="left"/>
              <w:rPr>
                <w:rFonts w:ascii="Times New Roman" w:hAnsi="Times New Roman" w:eastAsia="宋体"/>
                <w:kern w:val="0"/>
                <w:sz w:val="24"/>
                <w:szCs w:val="24"/>
              </w:rPr>
            </w:pPr>
          </w:p>
        </w:tc>
        <w:tc>
          <w:tcPr>
            <w:tcW w:w="1187" w:type="dxa"/>
            <w:vMerge w:val="continue"/>
            <w:tcBorders>
              <w:top w:val="single" w:color="auto" w:sz="4" w:space="0"/>
              <w:left w:val="single" w:color="auto" w:sz="4" w:space="0"/>
              <w:bottom w:val="single" w:color="auto" w:sz="4" w:space="0"/>
              <w:right w:val="single" w:color="auto" w:sz="4" w:space="0"/>
            </w:tcBorders>
            <w:vAlign w:val="center"/>
          </w:tcPr>
          <w:p w14:paraId="4A7869BF">
            <w:pPr>
              <w:spacing w:line="320" w:lineRule="exact"/>
              <w:ind w:firstLine="0" w:firstLineChars="0"/>
              <w:jc w:val="left"/>
              <w:rPr>
                <w:rFonts w:ascii="Times New Roman" w:hAnsi="Times New Roman" w:eastAsia="宋体"/>
                <w:kern w:val="0"/>
                <w:sz w:val="24"/>
                <w:szCs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5A3EEE84">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A32绩效指标科学性合理性</w:t>
            </w:r>
          </w:p>
        </w:tc>
        <w:tc>
          <w:tcPr>
            <w:tcW w:w="896" w:type="dxa"/>
            <w:tcBorders>
              <w:top w:val="single" w:color="auto" w:sz="4" w:space="0"/>
              <w:left w:val="nil"/>
              <w:bottom w:val="single" w:color="auto" w:sz="4" w:space="0"/>
              <w:right w:val="single" w:color="auto" w:sz="4" w:space="0"/>
            </w:tcBorders>
            <w:vAlign w:val="center"/>
          </w:tcPr>
          <w:p w14:paraId="1D617624">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992" w:type="dxa"/>
            <w:tcBorders>
              <w:top w:val="single" w:color="auto" w:sz="4" w:space="0"/>
              <w:left w:val="nil"/>
              <w:bottom w:val="single" w:color="auto" w:sz="4" w:space="0"/>
              <w:right w:val="single" w:color="auto" w:sz="4" w:space="0"/>
            </w:tcBorders>
            <w:vAlign w:val="center"/>
          </w:tcPr>
          <w:p w14:paraId="6DF18FFB">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科学合理</w:t>
            </w:r>
          </w:p>
        </w:tc>
        <w:tc>
          <w:tcPr>
            <w:tcW w:w="1843" w:type="dxa"/>
            <w:tcBorders>
              <w:top w:val="single" w:color="auto" w:sz="4" w:space="0"/>
              <w:left w:val="nil"/>
              <w:bottom w:val="single" w:color="auto" w:sz="4" w:space="0"/>
              <w:right w:val="single" w:color="auto" w:sz="4" w:space="0"/>
            </w:tcBorders>
            <w:vAlign w:val="center"/>
          </w:tcPr>
          <w:p w14:paraId="78371DB3">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绩效指标是否可衡量、是否与年度工作任务匹配</w:t>
            </w:r>
          </w:p>
        </w:tc>
        <w:tc>
          <w:tcPr>
            <w:tcW w:w="2126" w:type="dxa"/>
            <w:tcBorders>
              <w:top w:val="single" w:color="auto" w:sz="4" w:space="0"/>
              <w:left w:val="nil"/>
              <w:bottom w:val="single" w:color="auto" w:sz="4" w:space="0"/>
              <w:right w:val="single" w:color="auto" w:sz="4" w:space="0"/>
            </w:tcBorders>
            <w:vAlign w:val="center"/>
          </w:tcPr>
          <w:p w14:paraId="33F41A4D">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绩效指标可衡量得1分，匹配得1分。</w:t>
            </w:r>
          </w:p>
        </w:tc>
        <w:tc>
          <w:tcPr>
            <w:tcW w:w="824" w:type="dxa"/>
            <w:tcBorders>
              <w:top w:val="single" w:color="auto" w:sz="4" w:space="0"/>
              <w:left w:val="nil"/>
              <w:bottom w:val="single" w:color="auto" w:sz="4" w:space="0"/>
              <w:right w:val="single" w:color="auto" w:sz="4" w:space="0"/>
            </w:tcBorders>
            <w:vAlign w:val="center"/>
          </w:tcPr>
          <w:p w14:paraId="1721C91E">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1.5</w:t>
            </w:r>
          </w:p>
        </w:tc>
        <w:tc>
          <w:tcPr>
            <w:tcW w:w="4185" w:type="dxa"/>
            <w:tcBorders>
              <w:top w:val="single" w:color="auto" w:sz="4" w:space="0"/>
              <w:left w:val="nil"/>
              <w:bottom w:val="single" w:color="auto" w:sz="4" w:space="0"/>
              <w:right w:val="single" w:color="auto" w:sz="4" w:space="0"/>
            </w:tcBorders>
            <w:vAlign w:val="center"/>
          </w:tcPr>
          <w:p w14:paraId="1E614E74">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绩效指标设置可衡量，与已设定的年度工作任务基本匹配，但未能</w:t>
            </w:r>
            <w:r>
              <w:rPr>
                <w:rFonts w:hint="eastAsia" w:ascii="Times New Roman" w:hAnsi="Times New Roman" w:eastAsia="宋体"/>
                <w:kern w:val="0"/>
                <w:sz w:val="24"/>
                <w:szCs w:val="24"/>
              </w:rPr>
              <w:t>完全反映全年重点工作任务</w:t>
            </w:r>
            <w:r>
              <w:rPr>
                <w:rFonts w:ascii="Times New Roman" w:hAnsi="Times New Roman" w:eastAsia="宋体"/>
                <w:kern w:val="0"/>
                <w:sz w:val="24"/>
                <w:szCs w:val="24"/>
              </w:rPr>
              <w:t>，</w:t>
            </w:r>
            <w:r>
              <w:rPr>
                <w:rFonts w:hint="eastAsia" w:ascii="Times New Roman" w:hAnsi="Times New Roman" w:eastAsia="宋体"/>
                <w:kern w:val="0"/>
                <w:sz w:val="24"/>
                <w:szCs w:val="24"/>
              </w:rPr>
              <w:t>匹配性</w:t>
            </w:r>
            <w:r>
              <w:rPr>
                <w:rFonts w:ascii="Times New Roman" w:hAnsi="Times New Roman" w:eastAsia="宋体"/>
                <w:kern w:val="0"/>
                <w:sz w:val="24"/>
                <w:szCs w:val="24"/>
              </w:rPr>
              <w:t>有待进一步提高，酌情扣0.5分。</w:t>
            </w:r>
          </w:p>
        </w:tc>
      </w:tr>
      <w:tr w14:paraId="49A5AB70">
        <w:tblPrEx>
          <w:tblCellMar>
            <w:top w:w="0" w:type="dxa"/>
            <w:left w:w="108" w:type="dxa"/>
            <w:bottom w:w="0" w:type="dxa"/>
            <w:right w:w="108" w:type="dxa"/>
          </w:tblCellMar>
        </w:tblPrEx>
        <w:trPr>
          <w:trHeight w:val="960" w:hRule="atLeast"/>
          <w:jc w:val="center"/>
        </w:trPr>
        <w:tc>
          <w:tcPr>
            <w:tcW w:w="1324" w:type="dxa"/>
            <w:vMerge w:val="continue"/>
            <w:tcBorders>
              <w:top w:val="single" w:color="auto" w:sz="4" w:space="0"/>
              <w:left w:val="single" w:color="auto" w:sz="4" w:space="0"/>
              <w:bottom w:val="single" w:color="auto" w:sz="4" w:space="0"/>
              <w:right w:val="single" w:color="auto" w:sz="4" w:space="0"/>
            </w:tcBorders>
            <w:vAlign w:val="center"/>
          </w:tcPr>
          <w:p w14:paraId="5EA76C91">
            <w:pPr>
              <w:spacing w:line="360" w:lineRule="exact"/>
              <w:ind w:firstLine="0" w:firstLineChars="0"/>
              <w:jc w:val="left"/>
              <w:rPr>
                <w:rFonts w:ascii="Times New Roman" w:hAnsi="Times New Roman" w:eastAsia="宋体"/>
                <w:kern w:val="0"/>
                <w:sz w:val="24"/>
                <w:szCs w:val="24"/>
              </w:rPr>
            </w:pPr>
          </w:p>
        </w:tc>
        <w:tc>
          <w:tcPr>
            <w:tcW w:w="1187" w:type="dxa"/>
            <w:vMerge w:val="restart"/>
            <w:tcBorders>
              <w:top w:val="single" w:color="auto" w:sz="4" w:space="0"/>
              <w:left w:val="single" w:color="auto" w:sz="4" w:space="0"/>
              <w:bottom w:val="single" w:color="auto" w:sz="4" w:space="0"/>
              <w:right w:val="single" w:color="auto" w:sz="4" w:space="0"/>
            </w:tcBorders>
            <w:vAlign w:val="center"/>
          </w:tcPr>
          <w:p w14:paraId="30B1059B">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A4部门预算编制</w:t>
            </w:r>
          </w:p>
          <w:p w14:paraId="7CA71BE7">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（4分）</w:t>
            </w:r>
          </w:p>
        </w:tc>
        <w:tc>
          <w:tcPr>
            <w:tcW w:w="1440" w:type="dxa"/>
            <w:tcBorders>
              <w:top w:val="single" w:color="auto" w:sz="4" w:space="0"/>
              <w:left w:val="single" w:color="auto" w:sz="4" w:space="0"/>
              <w:bottom w:val="single" w:color="auto" w:sz="4" w:space="0"/>
              <w:right w:val="single" w:color="auto" w:sz="4" w:space="0"/>
            </w:tcBorders>
            <w:vAlign w:val="center"/>
          </w:tcPr>
          <w:p w14:paraId="0E60DC09">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A41预算编制科学规范</w:t>
            </w:r>
          </w:p>
        </w:tc>
        <w:tc>
          <w:tcPr>
            <w:tcW w:w="896" w:type="dxa"/>
            <w:tcBorders>
              <w:top w:val="single" w:color="auto" w:sz="4" w:space="0"/>
              <w:left w:val="nil"/>
              <w:bottom w:val="single" w:color="auto" w:sz="4" w:space="0"/>
              <w:right w:val="single" w:color="auto" w:sz="4" w:space="0"/>
            </w:tcBorders>
            <w:vAlign w:val="center"/>
          </w:tcPr>
          <w:p w14:paraId="134FC52B">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992" w:type="dxa"/>
            <w:tcBorders>
              <w:top w:val="single" w:color="auto" w:sz="4" w:space="0"/>
              <w:left w:val="nil"/>
              <w:bottom w:val="single" w:color="auto" w:sz="4" w:space="0"/>
              <w:right w:val="single" w:color="auto" w:sz="4" w:space="0"/>
            </w:tcBorders>
            <w:vAlign w:val="center"/>
          </w:tcPr>
          <w:p w14:paraId="4E97DB99">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规范</w:t>
            </w:r>
          </w:p>
        </w:tc>
        <w:tc>
          <w:tcPr>
            <w:tcW w:w="1843" w:type="dxa"/>
            <w:tcBorders>
              <w:top w:val="single" w:color="auto" w:sz="4" w:space="0"/>
              <w:left w:val="nil"/>
              <w:bottom w:val="single" w:color="auto" w:sz="4" w:space="0"/>
              <w:right w:val="single" w:color="auto" w:sz="4" w:space="0"/>
            </w:tcBorders>
            <w:vAlign w:val="center"/>
          </w:tcPr>
          <w:p w14:paraId="5382AF4C">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内部预算编制是否有相应的制度保障，编制流程是否科学规范，执行是否有效</w:t>
            </w:r>
          </w:p>
        </w:tc>
        <w:tc>
          <w:tcPr>
            <w:tcW w:w="2126" w:type="dxa"/>
            <w:tcBorders>
              <w:top w:val="single" w:color="auto" w:sz="4" w:space="0"/>
              <w:left w:val="nil"/>
              <w:bottom w:val="single" w:color="auto" w:sz="4" w:space="0"/>
              <w:right w:val="single" w:color="auto" w:sz="4" w:space="0"/>
            </w:tcBorders>
            <w:vAlign w:val="center"/>
          </w:tcPr>
          <w:p w14:paraId="00E8C98D">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预算编制有相应的制度保障得1分，编制流程规范得1分。</w:t>
            </w:r>
          </w:p>
        </w:tc>
        <w:tc>
          <w:tcPr>
            <w:tcW w:w="824" w:type="dxa"/>
            <w:tcBorders>
              <w:top w:val="single" w:color="auto" w:sz="4" w:space="0"/>
              <w:left w:val="nil"/>
              <w:bottom w:val="single" w:color="auto" w:sz="4" w:space="0"/>
              <w:right w:val="single" w:color="auto" w:sz="4" w:space="0"/>
            </w:tcBorders>
            <w:vAlign w:val="center"/>
          </w:tcPr>
          <w:p w14:paraId="454C737F">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4185" w:type="dxa"/>
            <w:tcBorders>
              <w:top w:val="single" w:color="auto" w:sz="4" w:space="0"/>
              <w:left w:val="nil"/>
              <w:bottom w:val="single" w:color="auto" w:sz="4" w:space="0"/>
              <w:right w:val="single" w:color="auto" w:sz="4" w:space="0"/>
            </w:tcBorders>
            <w:vAlign w:val="center"/>
          </w:tcPr>
          <w:p w14:paraId="0E86182A">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预算编制根据</w:t>
            </w:r>
            <w:r>
              <w:rPr>
                <w:rFonts w:hint="eastAsia" w:ascii="Times New Roman" w:hAnsi="Times New Roman" w:eastAsia="宋体"/>
                <w:kern w:val="0"/>
                <w:sz w:val="24"/>
                <w:szCs w:val="24"/>
              </w:rPr>
              <w:t>修订</w:t>
            </w:r>
            <w:r>
              <w:rPr>
                <w:rFonts w:ascii="Times New Roman" w:hAnsi="Times New Roman" w:eastAsia="宋体"/>
                <w:kern w:val="0"/>
                <w:sz w:val="24"/>
                <w:szCs w:val="24"/>
              </w:rPr>
              <w:t>的《南京市妇联</w:t>
            </w:r>
            <w:r>
              <w:rPr>
                <w:rFonts w:hint="eastAsia" w:ascii="Times New Roman" w:hAnsi="Times New Roman" w:eastAsia="宋体"/>
                <w:kern w:val="0"/>
                <w:sz w:val="24"/>
                <w:szCs w:val="24"/>
              </w:rPr>
              <w:t>财务</w:t>
            </w:r>
            <w:r>
              <w:rPr>
                <w:rFonts w:ascii="Times New Roman" w:hAnsi="Times New Roman" w:eastAsia="宋体"/>
                <w:kern w:val="0"/>
                <w:sz w:val="24"/>
                <w:szCs w:val="24"/>
              </w:rPr>
              <w:t>管理</w:t>
            </w:r>
            <w:r>
              <w:rPr>
                <w:rFonts w:hint="eastAsia" w:ascii="Times New Roman" w:hAnsi="Times New Roman" w:eastAsia="宋体"/>
                <w:kern w:val="0"/>
                <w:sz w:val="24"/>
                <w:szCs w:val="24"/>
              </w:rPr>
              <w:t>办法</w:t>
            </w:r>
            <w:r>
              <w:rPr>
                <w:rFonts w:ascii="Times New Roman" w:hAnsi="Times New Roman" w:eastAsia="宋体"/>
                <w:kern w:val="0"/>
                <w:sz w:val="24"/>
                <w:szCs w:val="24"/>
              </w:rPr>
              <w:t>》</w:t>
            </w:r>
            <w:r>
              <w:rPr>
                <w:rFonts w:hint="eastAsia" w:ascii="Times New Roman" w:hAnsi="Times New Roman" w:eastAsia="宋体"/>
                <w:kern w:val="0"/>
                <w:sz w:val="24"/>
                <w:szCs w:val="24"/>
              </w:rPr>
              <w:t>、《南京市妇联预算业务内控制度》</w:t>
            </w:r>
            <w:r>
              <w:rPr>
                <w:rFonts w:ascii="Times New Roman" w:hAnsi="Times New Roman" w:eastAsia="宋体"/>
                <w:kern w:val="0"/>
                <w:sz w:val="24"/>
                <w:szCs w:val="24"/>
              </w:rPr>
              <w:t>等进行预决算管理，编制流程规范，符合财政部门相关要求。</w:t>
            </w:r>
          </w:p>
        </w:tc>
      </w:tr>
      <w:tr w14:paraId="0E94B12A">
        <w:tblPrEx>
          <w:tblCellMar>
            <w:top w:w="0" w:type="dxa"/>
            <w:left w:w="108" w:type="dxa"/>
            <w:bottom w:w="0" w:type="dxa"/>
            <w:right w:w="108" w:type="dxa"/>
          </w:tblCellMar>
        </w:tblPrEx>
        <w:trPr>
          <w:trHeight w:val="90" w:hRule="atLeast"/>
          <w:jc w:val="center"/>
        </w:trPr>
        <w:tc>
          <w:tcPr>
            <w:tcW w:w="1324" w:type="dxa"/>
            <w:vMerge w:val="continue"/>
            <w:tcBorders>
              <w:top w:val="single" w:color="auto" w:sz="4" w:space="0"/>
              <w:left w:val="single" w:color="auto" w:sz="4" w:space="0"/>
              <w:bottom w:val="single" w:color="auto" w:sz="4" w:space="0"/>
              <w:right w:val="single" w:color="auto" w:sz="4" w:space="0"/>
            </w:tcBorders>
            <w:vAlign w:val="center"/>
          </w:tcPr>
          <w:p w14:paraId="15527067">
            <w:pPr>
              <w:spacing w:line="360" w:lineRule="exact"/>
              <w:ind w:firstLine="0" w:firstLineChars="0"/>
              <w:jc w:val="left"/>
              <w:rPr>
                <w:rFonts w:ascii="Times New Roman" w:hAnsi="Times New Roman" w:eastAsia="宋体"/>
                <w:kern w:val="0"/>
                <w:sz w:val="24"/>
                <w:szCs w:val="24"/>
              </w:rPr>
            </w:pPr>
          </w:p>
        </w:tc>
        <w:tc>
          <w:tcPr>
            <w:tcW w:w="1187" w:type="dxa"/>
            <w:vMerge w:val="continue"/>
            <w:tcBorders>
              <w:top w:val="single" w:color="auto" w:sz="4" w:space="0"/>
              <w:left w:val="single" w:color="auto" w:sz="4" w:space="0"/>
              <w:bottom w:val="single" w:color="auto" w:sz="4" w:space="0"/>
              <w:right w:val="single" w:color="auto" w:sz="4" w:space="0"/>
            </w:tcBorders>
            <w:vAlign w:val="center"/>
          </w:tcPr>
          <w:p w14:paraId="6A7D24F8">
            <w:pPr>
              <w:spacing w:line="320" w:lineRule="exact"/>
              <w:ind w:firstLine="0" w:firstLineChars="0"/>
              <w:jc w:val="left"/>
              <w:rPr>
                <w:rFonts w:ascii="Times New Roman" w:hAnsi="Times New Roman" w:eastAsia="宋体"/>
                <w:kern w:val="0"/>
                <w:sz w:val="24"/>
                <w:szCs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30D24E5D">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A42预算编制与重点工作任务的匹配性</w:t>
            </w:r>
          </w:p>
        </w:tc>
        <w:tc>
          <w:tcPr>
            <w:tcW w:w="896" w:type="dxa"/>
            <w:tcBorders>
              <w:top w:val="single" w:color="auto" w:sz="4" w:space="0"/>
              <w:left w:val="nil"/>
              <w:bottom w:val="single" w:color="auto" w:sz="4" w:space="0"/>
              <w:right w:val="single" w:color="auto" w:sz="4" w:space="0"/>
            </w:tcBorders>
            <w:vAlign w:val="center"/>
          </w:tcPr>
          <w:p w14:paraId="56A0B0C0">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992" w:type="dxa"/>
            <w:tcBorders>
              <w:top w:val="single" w:color="auto" w:sz="4" w:space="0"/>
              <w:left w:val="nil"/>
              <w:bottom w:val="single" w:color="auto" w:sz="4" w:space="0"/>
              <w:right w:val="single" w:color="auto" w:sz="4" w:space="0"/>
            </w:tcBorders>
            <w:vAlign w:val="center"/>
          </w:tcPr>
          <w:p w14:paraId="108FE1BF">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匹配</w:t>
            </w:r>
          </w:p>
        </w:tc>
        <w:tc>
          <w:tcPr>
            <w:tcW w:w="1843" w:type="dxa"/>
            <w:tcBorders>
              <w:top w:val="single" w:color="auto" w:sz="4" w:space="0"/>
              <w:left w:val="nil"/>
              <w:bottom w:val="single" w:color="auto" w:sz="4" w:space="0"/>
              <w:right w:val="single" w:color="auto" w:sz="4" w:space="0"/>
            </w:tcBorders>
            <w:vAlign w:val="center"/>
          </w:tcPr>
          <w:p w14:paraId="233F7B6B">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预算编制与重点工作是否相匹配</w:t>
            </w:r>
          </w:p>
        </w:tc>
        <w:tc>
          <w:tcPr>
            <w:tcW w:w="2126" w:type="dxa"/>
            <w:tcBorders>
              <w:top w:val="single" w:color="auto" w:sz="4" w:space="0"/>
              <w:left w:val="nil"/>
              <w:bottom w:val="single" w:color="auto" w:sz="4" w:space="0"/>
              <w:right w:val="single" w:color="auto" w:sz="4" w:space="0"/>
            </w:tcBorders>
            <w:vAlign w:val="center"/>
          </w:tcPr>
          <w:p w14:paraId="7596B3C5">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预算编制与重点工作任务相匹配得满分，否则不得分。</w:t>
            </w:r>
          </w:p>
        </w:tc>
        <w:tc>
          <w:tcPr>
            <w:tcW w:w="824" w:type="dxa"/>
            <w:tcBorders>
              <w:top w:val="single" w:color="auto" w:sz="4" w:space="0"/>
              <w:left w:val="nil"/>
              <w:bottom w:val="single" w:color="auto" w:sz="4" w:space="0"/>
              <w:right w:val="single" w:color="auto" w:sz="4" w:space="0"/>
            </w:tcBorders>
            <w:vAlign w:val="center"/>
          </w:tcPr>
          <w:p w14:paraId="35B65815">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4185" w:type="dxa"/>
            <w:tcBorders>
              <w:top w:val="single" w:color="auto" w:sz="4" w:space="0"/>
              <w:left w:val="nil"/>
              <w:bottom w:val="single" w:color="auto" w:sz="4" w:space="0"/>
              <w:right w:val="single" w:color="auto" w:sz="4" w:space="0"/>
            </w:tcBorders>
            <w:vAlign w:val="center"/>
          </w:tcPr>
          <w:p w14:paraId="6CA17E97">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202</w:t>
            </w:r>
            <w:r>
              <w:rPr>
                <w:rFonts w:hint="eastAsia" w:ascii="Times New Roman" w:hAnsi="Times New Roman" w:eastAsia="宋体"/>
                <w:kern w:val="0"/>
                <w:sz w:val="24"/>
                <w:szCs w:val="24"/>
              </w:rPr>
              <w:t>5</w:t>
            </w:r>
            <w:r>
              <w:rPr>
                <w:rFonts w:ascii="Times New Roman" w:hAnsi="Times New Roman" w:eastAsia="宋体"/>
                <w:kern w:val="0"/>
                <w:sz w:val="24"/>
                <w:szCs w:val="24"/>
              </w:rPr>
              <w:t>年部门预算草案编制情况的说明及经市财政批复的预算报告，均能反映出预算编制与重点工作任务相匹配。</w:t>
            </w:r>
          </w:p>
        </w:tc>
      </w:tr>
      <w:tr w14:paraId="4E0F6487">
        <w:tblPrEx>
          <w:tblCellMar>
            <w:top w:w="0" w:type="dxa"/>
            <w:left w:w="108" w:type="dxa"/>
            <w:bottom w:w="0" w:type="dxa"/>
            <w:right w:w="108" w:type="dxa"/>
          </w:tblCellMar>
        </w:tblPrEx>
        <w:trPr>
          <w:trHeight w:val="325" w:hRule="atLeast"/>
          <w:jc w:val="center"/>
        </w:trPr>
        <w:tc>
          <w:tcPr>
            <w:tcW w:w="1324" w:type="dxa"/>
            <w:vMerge w:val="restart"/>
            <w:tcBorders>
              <w:top w:val="single" w:color="auto" w:sz="4" w:space="0"/>
              <w:left w:val="single" w:color="auto" w:sz="4" w:space="0"/>
              <w:bottom w:val="single" w:color="auto" w:sz="4" w:space="0"/>
              <w:right w:val="single" w:color="auto" w:sz="4" w:space="0"/>
            </w:tcBorders>
            <w:vAlign w:val="center"/>
          </w:tcPr>
          <w:p w14:paraId="70049569">
            <w:pPr>
              <w:spacing w:line="36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B部门管理（20分）</w:t>
            </w:r>
          </w:p>
        </w:tc>
        <w:tc>
          <w:tcPr>
            <w:tcW w:w="1187" w:type="dxa"/>
            <w:vMerge w:val="restart"/>
            <w:tcBorders>
              <w:top w:val="single" w:color="auto" w:sz="4" w:space="0"/>
              <w:left w:val="single" w:color="auto" w:sz="4" w:space="0"/>
              <w:bottom w:val="single" w:color="auto" w:sz="4" w:space="0"/>
              <w:right w:val="single" w:color="auto" w:sz="4" w:space="0"/>
            </w:tcBorders>
            <w:vAlign w:val="center"/>
          </w:tcPr>
          <w:p w14:paraId="57CB380D">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B1预算执行</w:t>
            </w:r>
          </w:p>
          <w:p w14:paraId="3E4563F2">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（6分）</w:t>
            </w:r>
          </w:p>
        </w:tc>
        <w:tc>
          <w:tcPr>
            <w:tcW w:w="1440" w:type="dxa"/>
            <w:tcBorders>
              <w:top w:val="single" w:color="auto" w:sz="4" w:space="0"/>
              <w:left w:val="single" w:color="auto" w:sz="4" w:space="0"/>
              <w:bottom w:val="single" w:color="auto" w:sz="4" w:space="0"/>
              <w:right w:val="single" w:color="auto" w:sz="4" w:space="0"/>
            </w:tcBorders>
            <w:vAlign w:val="center"/>
          </w:tcPr>
          <w:p w14:paraId="676D6DC0">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B11部门预算执行率</w:t>
            </w:r>
          </w:p>
        </w:tc>
        <w:tc>
          <w:tcPr>
            <w:tcW w:w="896" w:type="dxa"/>
            <w:tcBorders>
              <w:top w:val="single" w:color="auto" w:sz="4" w:space="0"/>
              <w:left w:val="single" w:color="auto" w:sz="4" w:space="0"/>
              <w:bottom w:val="single" w:color="auto" w:sz="4" w:space="0"/>
              <w:right w:val="single" w:color="auto" w:sz="4" w:space="0"/>
            </w:tcBorders>
            <w:vAlign w:val="center"/>
          </w:tcPr>
          <w:p w14:paraId="6D606CB1">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992" w:type="dxa"/>
            <w:tcBorders>
              <w:top w:val="single" w:color="auto" w:sz="4" w:space="0"/>
              <w:left w:val="single" w:color="auto" w:sz="4" w:space="0"/>
              <w:bottom w:val="single" w:color="auto" w:sz="4" w:space="0"/>
              <w:right w:val="single" w:color="auto" w:sz="4" w:space="0"/>
            </w:tcBorders>
            <w:vAlign w:val="center"/>
          </w:tcPr>
          <w:p w14:paraId="566D00E4">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100%</w:t>
            </w:r>
          </w:p>
        </w:tc>
        <w:tc>
          <w:tcPr>
            <w:tcW w:w="1843" w:type="dxa"/>
            <w:tcBorders>
              <w:top w:val="single" w:color="auto" w:sz="4" w:space="0"/>
              <w:left w:val="single" w:color="auto" w:sz="4" w:space="0"/>
              <w:bottom w:val="single" w:color="auto" w:sz="4" w:space="0"/>
              <w:right w:val="single" w:color="auto" w:sz="4" w:space="0"/>
            </w:tcBorders>
            <w:vAlign w:val="center"/>
          </w:tcPr>
          <w:p w14:paraId="6323C020">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部门预算执行率是否按照预算执行，用以反映或考核项目预算执行情况</w:t>
            </w:r>
          </w:p>
        </w:tc>
        <w:tc>
          <w:tcPr>
            <w:tcW w:w="2126" w:type="dxa"/>
            <w:tcBorders>
              <w:top w:val="single" w:color="auto" w:sz="4" w:space="0"/>
              <w:left w:val="single" w:color="auto" w:sz="4" w:space="0"/>
              <w:bottom w:val="single" w:color="auto" w:sz="4" w:space="0"/>
              <w:right w:val="single" w:color="auto" w:sz="4" w:space="0"/>
            </w:tcBorders>
            <w:vAlign w:val="center"/>
          </w:tcPr>
          <w:p w14:paraId="40927106">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预算执行率=（实际支出资金/预算资金）×100%。实际支出资金：一定时期（本年度或项目期）内项目实际拨付的资金。预算执行率100%得满分；预算执行率每降低1%，扣权重分的2.5%，扣完为止。</w:t>
            </w:r>
          </w:p>
        </w:tc>
        <w:tc>
          <w:tcPr>
            <w:tcW w:w="824" w:type="dxa"/>
            <w:tcBorders>
              <w:top w:val="single" w:color="auto" w:sz="4" w:space="0"/>
              <w:left w:val="single" w:color="auto" w:sz="4" w:space="0"/>
              <w:bottom w:val="single" w:color="auto" w:sz="4" w:space="0"/>
              <w:right w:val="single" w:color="auto" w:sz="4" w:space="0"/>
            </w:tcBorders>
            <w:vAlign w:val="center"/>
          </w:tcPr>
          <w:p w14:paraId="072258A4">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4185" w:type="dxa"/>
            <w:tcBorders>
              <w:top w:val="single" w:color="auto" w:sz="4" w:space="0"/>
              <w:left w:val="single" w:color="auto" w:sz="4" w:space="0"/>
              <w:bottom w:val="single" w:color="auto" w:sz="4" w:space="0"/>
              <w:right w:val="single" w:color="auto" w:sz="4" w:space="0"/>
            </w:tcBorders>
            <w:vAlign w:val="center"/>
          </w:tcPr>
          <w:p w14:paraId="0A8D3EA9">
            <w:pPr>
              <w:spacing w:line="320" w:lineRule="exact"/>
              <w:ind w:firstLine="0" w:firstLineChars="0"/>
              <w:jc w:val="left"/>
              <w:rPr>
                <w:rFonts w:ascii="Times New Roman" w:hAnsi="Times New Roman" w:eastAsia="宋体"/>
                <w:kern w:val="0"/>
                <w:sz w:val="24"/>
                <w:szCs w:val="24"/>
              </w:rPr>
            </w:pPr>
            <w:r>
              <w:rPr>
                <w:rFonts w:hint="eastAsia" w:ascii="Times New Roman" w:hAnsi="Times New Roman" w:eastAsia="宋体"/>
                <w:kern w:val="0"/>
                <w:sz w:val="24"/>
                <w:szCs w:val="24"/>
              </w:rPr>
              <w:t>根据财政要求，年中追加了部分基本支出和项目支出预算，调整预算执行率为100%。</w:t>
            </w:r>
          </w:p>
        </w:tc>
      </w:tr>
      <w:tr w14:paraId="2B1EE688">
        <w:tblPrEx>
          <w:tblCellMar>
            <w:top w:w="0" w:type="dxa"/>
            <w:left w:w="108" w:type="dxa"/>
            <w:bottom w:w="0" w:type="dxa"/>
            <w:right w:w="108" w:type="dxa"/>
          </w:tblCellMar>
        </w:tblPrEx>
        <w:trPr>
          <w:trHeight w:val="1470" w:hRule="atLeast"/>
          <w:jc w:val="center"/>
        </w:trPr>
        <w:tc>
          <w:tcPr>
            <w:tcW w:w="1324" w:type="dxa"/>
            <w:vMerge w:val="continue"/>
            <w:tcBorders>
              <w:top w:val="single" w:color="auto" w:sz="4" w:space="0"/>
              <w:left w:val="single" w:color="auto" w:sz="4" w:space="0"/>
              <w:bottom w:val="single" w:color="auto" w:sz="4" w:space="0"/>
              <w:right w:val="single" w:color="auto" w:sz="4" w:space="0"/>
            </w:tcBorders>
            <w:vAlign w:val="center"/>
          </w:tcPr>
          <w:p w14:paraId="13004A10">
            <w:pPr>
              <w:spacing w:line="360" w:lineRule="exact"/>
              <w:ind w:firstLine="0" w:firstLineChars="0"/>
              <w:jc w:val="left"/>
              <w:rPr>
                <w:rFonts w:ascii="Times New Roman" w:hAnsi="Times New Roman" w:eastAsia="宋体"/>
                <w:kern w:val="0"/>
                <w:sz w:val="24"/>
                <w:szCs w:val="24"/>
              </w:rPr>
            </w:pPr>
          </w:p>
        </w:tc>
        <w:tc>
          <w:tcPr>
            <w:tcW w:w="1187" w:type="dxa"/>
            <w:vMerge w:val="continue"/>
            <w:tcBorders>
              <w:top w:val="single" w:color="auto" w:sz="4" w:space="0"/>
              <w:left w:val="single" w:color="auto" w:sz="4" w:space="0"/>
              <w:bottom w:val="single" w:color="auto" w:sz="4" w:space="0"/>
              <w:right w:val="single" w:color="auto" w:sz="4" w:space="0"/>
            </w:tcBorders>
            <w:vAlign w:val="center"/>
          </w:tcPr>
          <w:p w14:paraId="5B749C50">
            <w:pPr>
              <w:spacing w:line="320" w:lineRule="exact"/>
              <w:ind w:firstLine="0" w:firstLineChars="0"/>
              <w:jc w:val="left"/>
              <w:rPr>
                <w:rFonts w:ascii="Times New Roman" w:hAnsi="Times New Roman" w:eastAsia="宋体"/>
                <w:kern w:val="0"/>
                <w:sz w:val="24"/>
                <w:szCs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28BB25D6">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B12专项资金执行率</w:t>
            </w:r>
          </w:p>
        </w:tc>
        <w:tc>
          <w:tcPr>
            <w:tcW w:w="896" w:type="dxa"/>
            <w:tcBorders>
              <w:top w:val="single" w:color="auto" w:sz="4" w:space="0"/>
              <w:left w:val="nil"/>
              <w:bottom w:val="single" w:color="auto" w:sz="4" w:space="0"/>
              <w:right w:val="single" w:color="auto" w:sz="4" w:space="0"/>
            </w:tcBorders>
            <w:vAlign w:val="center"/>
          </w:tcPr>
          <w:p w14:paraId="68AA35C6">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992" w:type="dxa"/>
            <w:tcBorders>
              <w:top w:val="single" w:color="auto" w:sz="4" w:space="0"/>
              <w:left w:val="nil"/>
              <w:bottom w:val="single" w:color="auto" w:sz="4" w:space="0"/>
              <w:right w:val="single" w:color="auto" w:sz="4" w:space="0"/>
            </w:tcBorders>
            <w:vAlign w:val="center"/>
          </w:tcPr>
          <w:p w14:paraId="0AD9E150">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100%</w:t>
            </w:r>
          </w:p>
        </w:tc>
        <w:tc>
          <w:tcPr>
            <w:tcW w:w="1843" w:type="dxa"/>
            <w:tcBorders>
              <w:top w:val="single" w:color="auto" w:sz="4" w:space="0"/>
              <w:left w:val="nil"/>
              <w:bottom w:val="single" w:color="auto" w:sz="4" w:space="0"/>
              <w:right w:val="single" w:color="auto" w:sz="4" w:space="0"/>
            </w:tcBorders>
            <w:vAlign w:val="center"/>
          </w:tcPr>
          <w:p w14:paraId="7DE60D6A">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考核部门专项资金的使用情况</w:t>
            </w:r>
          </w:p>
        </w:tc>
        <w:tc>
          <w:tcPr>
            <w:tcW w:w="2126" w:type="dxa"/>
            <w:tcBorders>
              <w:top w:val="single" w:color="auto" w:sz="4" w:space="0"/>
              <w:left w:val="nil"/>
              <w:bottom w:val="single" w:color="auto" w:sz="4" w:space="0"/>
              <w:right w:val="single" w:color="auto" w:sz="4" w:space="0"/>
            </w:tcBorders>
            <w:vAlign w:val="center"/>
          </w:tcPr>
          <w:p w14:paraId="426CD3E0">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专项资金执行率100%得满分，每降低1%，扣权重分的2.5%，扣完为止。</w:t>
            </w:r>
          </w:p>
        </w:tc>
        <w:tc>
          <w:tcPr>
            <w:tcW w:w="824" w:type="dxa"/>
            <w:tcBorders>
              <w:top w:val="single" w:color="auto" w:sz="4" w:space="0"/>
              <w:left w:val="nil"/>
              <w:bottom w:val="single" w:color="auto" w:sz="4" w:space="0"/>
              <w:right w:val="single" w:color="auto" w:sz="4" w:space="0"/>
            </w:tcBorders>
            <w:vAlign w:val="center"/>
          </w:tcPr>
          <w:p w14:paraId="388C65F3">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4185" w:type="dxa"/>
            <w:tcBorders>
              <w:top w:val="single" w:color="auto" w:sz="4" w:space="0"/>
              <w:left w:val="nil"/>
              <w:bottom w:val="single" w:color="auto" w:sz="4" w:space="0"/>
              <w:right w:val="single" w:color="auto" w:sz="4" w:space="0"/>
            </w:tcBorders>
            <w:vAlign w:val="center"/>
          </w:tcPr>
          <w:p w14:paraId="3D7AAB10">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专项资金预算</w:t>
            </w:r>
            <w:r>
              <w:rPr>
                <w:rFonts w:hint="eastAsia" w:ascii="Times New Roman" w:hAnsi="Times New Roman" w:eastAsia="宋体"/>
                <w:kern w:val="0"/>
                <w:sz w:val="24"/>
                <w:szCs w:val="24"/>
              </w:rPr>
              <w:t>550</w:t>
            </w:r>
            <w:r>
              <w:rPr>
                <w:rFonts w:ascii="Times New Roman" w:hAnsi="Times New Roman" w:eastAsia="宋体"/>
                <w:kern w:val="0"/>
                <w:sz w:val="24"/>
                <w:szCs w:val="24"/>
              </w:rPr>
              <w:t>万元，</w:t>
            </w:r>
            <w:r>
              <w:rPr>
                <w:rFonts w:hint="eastAsia" w:ascii="Times New Roman" w:hAnsi="Times New Roman" w:eastAsia="宋体"/>
                <w:kern w:val="0"/>
                <w:sz w:val="24"/>
                <w:szCs w:val="24"/>
              </w:rPr>
              <w:t>为落实过紧日子要求，根据财政要求优化调整为531.3万元，</w:t>
            </w:r>
            <w:r>
              <w:rPr>
                <w:rFonts w:ascii="Times New Roman" w:hAnsi="Times New Roman" w:eastAsia="宋体"/>
                <w:kern w:val="0"/>
                <w:sz w:val="24"/>
                <w:szCs w:val="24"/>
              </w:rPr>
              <w:t>实际支出</w:t>
            </w:r>
            <w:r>
              <w:rPr>
                <w:rFonts w:hint="eastAsia" w:ascii="Times New Roman" w:hAnsi="Times New Roman" w:eastAsia="宋体"/>
                <w:kern w:val="0"/>
                <w:sz w:val="24"/>
                <w:szCs w:val="24"/>
              </w:rPr>
              <w:t>531.3</w:t>
            </w:r>
            <w:r>
              <w:rPr>
                <w:rFonts w:ascii="Times New Roman" w:hAnsi="Times New Roman" w:eastAsia="宋体"/>
                <w:kern w:val="0"/>
                <w:sz w:val="24"/>
                <w:szCs w:val="24"/>
              </w:rPr>
              <w:t>万元，专项资金</w:t>
            </w:r>
            <w:r>
              <w:rPr>
                <w:rFonts w:hint="eastAsia" w:ascii="Times New Roman" w:hAnsi="Times New Roman" w:eastAsia="宋体"/>
                <w:kern w:val="0"/>
                <w:sz w:val="24"/>
                <w:szCs w:val="24"/>
              </w:rPr>
              <w:t>执行</w:t>
            </w:r>
            <w:r>
              <w:rPr>
                <w:rFonts w:ascii="Times New Roman" w:hAnsi="Times New Roman" w:eastAsia="宋体"/>
                <w:kern w:val="0"/>
                <w:sz w:val="24"/>
                <w:szCs w:val="24"/>
              </w:rPr>
              <w:t>率100%。</w:t>
            </w:r>
          </w:p>
        </w:tc>
      </w:tr>
      <w:tr w14:paraId="4E07ACDF">
        <w:tblPrEx>
          <w:tblCellMar>
            <w:top w:w="0" w:type="dxa"/>
            <w:left w:w="108" w:type="dxa"/>
            <w:bottom w:w="0" w:type="dxa"/>
            <w:right w:w="108" w:type="dxa"/>
          </w:tblCellMar>
        </w:tblPrEx>
        <w:trPr>
          <w:trHeight w:val="549" w:hRule="atLeast"/>
          <w:jc w:val="center"/>
        </w:trPr>
        <w:tc>
          <w:tcPr>
            <w:tcW w:w="1324" w:type="dxa"/>
            <w:vMerge w:val="continue"/>
            <w:tcBorders>
              <w:top w:val="single" w:color="auto" w:sz="4" w:space="0"/>
              <w:left w:val="single" w:color="auto" w:sz="4" w:space="0"/>
              <w:bottom w:val="single" w:color="auto" w:sz="4" w:space="0"/>
              <w:right w:val="single" w:color="auto" w:sz="4" w:space="0"/>
            </w:tcBorders>
            <w:vAlign w:val="center"/>
          </w:tcPr>
          <w:p w14:paraId="0AACA926">
            <w:pPr>
              <w:spacing w:line="360" w:lineRule="exact"/>
              <w:ind w:firstLine="0" w:firstLineChars="0"/>
              <w:jc w:val="left"/>
              <w:rPr>
                <w:rFonts w:ascii="Times New Roman" w:hAnsi="Times New Roman" w:eastAsia="宋体"/>
                <w:kern w:val="0"/>
                <w:sz w:val="24"/>
                <w:szCs w:val="24"/>
              </w:rPr>
            </w:pPr>
          </w:p>
        </w:tc>
        <w:tc>
          <w:tcPr>
            <w:tcW w:w="1187" w:type="dxa"/>
            <w:vMerge w:val="continue"/>
            <w:tcBorders>
              <w:top w:val="single" w:color="auto" w:sz="4" w:space="0"/>
              <w:left w:val="single" w:color="auto" w:sz="4" w:space="0"/>
              <w:bottom w:val="single" w:color="auto" w:sz="4" w:space="0"/>
              <w:right w:val="single" w:color="auto" w:sz="4" w:space="0"/>
            </w:tcBorders>
            <w:vAlign w:val="center"/>
          </w:tcPr>
          <w:p w14:paraId="036D5911">
            <w:pPr>
              <w:spacing w:line="320" w:lineRule="exact"/>
              <w:ind w:firstLine="0" w:firstLineChars="0"/>
              <w:jc w:val="left"/>
              <w:rPr>
                <w:rFonts w:ascii="Times New Roman" w:hAnsi="Times New Roman" w:eastAsia="宋体"/>
                <w:kern w:val="0"/>
                <w:sz w:val="24"/>
                <w:szCs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06D993F2">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B13“三公”经费控制率</w:t>
            </w:r>
          </w:p>
        </w:tc>
        <w:tc>
          <w:tcPr>
            <w:tcW w:w="896" w:type="dxa"/>
            <w:tcBorders>
              <w:top w:val="single" w:color="auto" w:sz="4" w:space="0"/>
              <w:left w:val="nil"/>
              <w:bottom w:val="single" w:color="auto" w:sz="4" w:space="0"/>
              <w:right w:val="single" w:color="auto" w:sz="4" w:space="0"/>
            </w:tcBorders>
            <w:vAlign w:val="center"/>
          </w:tcPr>
          <w:p w14:paraId="06480032">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992" w:type="dxa"/>
            <w:tcBorders>
              <w:top w:val="single" w:color="auto" w:sz="4" w:space="0"/>
              <w:left w:val="nil"/>
              <w:bottom w:val="single" w:color="auto" w:sz="4" w:space="0"/>
              <w:right w:val="single" w:color="auto" w:sz="4" w:space="0"/>
            </w:tcBorders>
            <w:vAlign w:val="center"/>
          </w:tcPr>
          <w:p w14:paraId="69B2F3DE">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100%</w:t>
            </w:r>
          </w:p>
        </w:tc>
        <w:tc>
          <w:tcPr>
            <w:tcW w:w="1843" w:type="dxa"/>
            <w:tcBorders>
              <w:top w:val="single" w:color="auto" w:sz="4" w:space="0"/>
              <w:left w:val="nil"/>
              <w:bottom w:val="single" w:color="auto" w:sz="4" w:space="0"/>
              <w:right w:val="single" w:color="auto" w:sz="4" w:space="0"/>
            </w:tcBorders>
            <w:vAlign w:val="center"/>
          </w:tcPr>
          <w:p w14:paraId="19C38CA6">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部门年度三公经费“实际支出数与预算安排数的比率，反映和考核部门对“三公经费”的实际控制程度</w:t>
            </w:r>
          </w:p>
        </w:tc>
        <w:tc>
          <w:tcPr>
            <w:tcW w:w="2126" w:type="dxa"/>
            <w:tcBorders>
              <w:top w:val="single" w:color="auto" w:sz="4" w:space="0"/>
              <w:left w:val="nil"/>
              <w:bottom w:val="single" w:color="auto" w:sz="4" w:space="0"/>
              <w:right w:val="single" w:color="auto" w:sz="4" w:space="0"/>
            </w:tcBorders>
            <w:vAlign w:val="center"/>
          </w:tcPr>
          <w:p w14:paraId="6E1DF75E">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“三公经费”控制率=（“三公经费”实际支出数/“三公经费”预算安排数）*100%。三公”经费使用超支扣分，若不超支则不扣分。</w:t>
            </w:r>
          </w:p>
        </w:tc>
        <w:tc>
          <w:tcPr>
            <w:tcW w:w="824" w:type="dxa"/>
            <w:tcBorders>
              <w:top w:val="single" w:color="auto" w:sz="4" w:space="0"/>
              <w:left w:val="nil"/>
              <w:bottom w:val="single" w:color="auto" w:sz="4" w:space="0"/>
              <w:right w:val="single" w:color="auto" w:sz="4" w:space="0"/>
            </w:tcBorders>
            <w:vAlign w:val="center"/>
          </w:tcPr>
          <w:p w14:paraId="3F1DBD67">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4185" w:type="dxa"/>
            <w:tcBorders>
              <w:top w:val="single" w:color="auto" w:sz="4" w:space="0"/>
              <w:left w:val="nil"/>
              <w:bottom w:val="single" w:color="auto" w:sz="4" w:space="0"/>
              <w:right w:val="single" w:color="auto" w:sz="4" w:space="0"/>
            </w:tcBorders>
            <w:vAlign w:val="center"/>
          </w:tcPr>
          <w:p w14:paraId="0B792D1C">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市妇联202</w:t>
            </w:r>
            <w:r>
              <w:rPr>
                <w:rFonts w:hint="eastAsia" w:ascii="Times New Roman" w:hAnsi="Times New Roman" w:eastAsia="宋体"/>
                <w:kern w:val="0"/>
                <w:sz w:val="24"/>
                <w:szCs w:val="24"/>
              </w:rPr>
              <w:t>5</w:t>
            </w:r>
            <w:r>
              <w:rPr>
                <w:rFonts w:ascii="Times New Roman" w:hAnsi="Times New Roman" w:eastAsia="宋体"/>
                <w:kern w:val="0"/>
                <w:sz w:val="24"/>
                <w:szCs w:val="24"/>
              </w:rPr>
              <w:t>年“三公”经费</w:t>
            </w:r>
            <w:r>
              <w:rPr>
                <w:rFonts w:hint="eastAsia" w:ascii="Times New Roman" w:hAnsi="Times New Roman" w:eastAsia="宋体"/>
                <w:kern w:val="0"/>
                <w:sz w:val="24"/>
                <w:szCs w:val="24"/>
              </w:rPr>
              <w:t>调整</w:t>
            </w:r>
            <w:r>
              <w:rPr>
                <w:rFonts w:ascii="Times New Roman" w:hAnsi="Times New Roman" w:eastAsia="宋体"/>
                <w:kern w:val="0"/>
                <w:sz w:val="24"/>
                <w:szCs w:val="24"/>
              </w:rPr>
              <w:t>预算数为7.</w:t>
            </w:r>
            <w:r>
              <w:rPr>
                <w:rFonts w:hint="eastAsia" w:ascii="Times New Roman" w:hAnsi="Times New Roman" w:eastAsia="宋体"/>
                <w:kern w:val="0"/>
                <w:sz w:val="24"/>
                <w:szCs w:val="24"/>
              </w:rPr>
              <w:t>73</w:t>
            </w:r>
            <w:r>
              <w:rPr>
                <w:rFonts w:ascii="Times New Roman" w:hAnsi="Times New Roman" w:eastAsia="宋体"/>
                <w:kern w:val="0"/>
                <w:sz w:val="24"/>
                <w:szCs w:val="24"/>
              </w:rPr>
              <w:t>万元，实际支出</w:t>
            </w:r>
            <w:r>
              <w:rPr>
                <w:rFonts w:hint="eastAsia" w:ascii="Times New Roman" w:hAnsi="Times New Roman" w:eastAsia="宋体"/>
                <w:kern w:val="0"/>
                <w:sz w:val="24"/>
                <w:szCs w:val="24"/>
              </w:rPr>
              <w:t>7.73</w:t>
            </w:r>
            <w:r>
              <w:rPr>
                <w:rFonts w:ascii="Times New Roman" w:hAnsi="Times New Roman" w:eastAsia="宋体"/>
                <w:kern w:val="0"/>
                <w:sz w:val="24"/>
                <w:szCs w:val="24"/>
              </w:rPr>
              <w:t>万元，</w:t>
            </w:r>
            <w:r>
              <w:rPr>
                <w:rFonts w:hint="eastAsia" w:ascii="Times New Roman" w:hAnsi="Times New Roman" w:eastAsia="宋体"/>
                <w:kern w:val="0"/>
                <w:sz w:val="24"/>
                <w:szCs w:val="24"/>
              </w:rPr>
              <w:t>未出现超支。</w:t>
            </w:r>
          </w:p>
        </w:tc>
      </w:tr>
      <w:tr w14:paraId="11A4B001">
        <w:tblPrEx>
          <w:tblCellMar>
            <w:top w:w="0" w:type="dxa"/>
            <w:left w:w="108" w:type="dxa"/>
            <w:bottom w:w="0" w:type="dxa"/>
            <w:right w:w="108" w:type="dxa"/>
          </w:tblCellMar>
        </w:tblPrEx>
        <w:trPr>
          <w:trHeight w:val="960" w:hRule="atLeast"/>
          <w:jc w:val="center"/>
        </w:trPr>
        <w:tc>
          <w:tcPr>
            <w:tcW w:w="1324" w:type="dxa"/>
            <w:vMerge w:val="restart"/>
            <w:tcBorders>
              <w:top w:val="single" w:color="auto" w:sz="4" w:space="0"/>
              <w:left w:val="single" w:color="auto" w:sz="4" w:space="0"/>
              <w:bottom w:val="single" w:color="auto" w:sz="4" w:space="0"/>
              <w:right w:val="single" w:color="auto" w:sz="4" w:space="0"/>
            </w:tcBorders>
            <w:vAlign w:val="center"/>
          </w:tcPr>
          <w:p w14:paraId="1FFD5D74">
            <w:pPr>
              <w:spacing w:line="36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B部门管理（20分）</w:t>
            </w:r>
          </w:p>
        </w:tc>
        <w:tc>
          <w:tcPr>
            <w:tcW w:w="1187" w:type="dxa"/>
            <w:tcBorders>
              <w:top w:val="single" w:color="auto" w:sz="4" w:space="0"/>
              <w:left w:val="single" w:color="auto" w:sz="4" w:space="0"/>
              <w:bottom w:val="single" w:color="auto" w:sz="4" w:space="0"/>
              <w:right w:val="single" w:color="auto" w:sz="4" w:space="0"/>
            </w:tcBorders>
            <w:vAlign w:val="center"/>
          </w:tcPr>
          <w:p w14:paraId="22AFBC97">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B1预算执行</w:t>
            </w:r>
          </w:p>
          <w:p w14:paraId="47755CC3">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（6分）</w:t>
            </w:r>
          </w:p>
        </w:tc>
        <w:tc>
          <w:tcPr>
            <w:tcW w:w="1440" w:type="dxa"/>
            <w:tcBorders>
              <w:top w:val="single" w:color="auto" w:sz="4" w:space="0"/>
              <w:left w:val="single" w:color="auto" w:sz="4" w:space="0"/>
              <w:bottom w:val="single" w:color="auto" w:sz="4" w:space="0"/>
              <w:right w:val="single" w:color="auto" w:sz="4" w:space="0"/>
            </w:tcBorders>
            <w:vAlign w:val="center"/>
          </w:tcPr>
          <w:p w14:paraId="211A0655">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 xml:space="preserve">B14预决算信息公开情况 </w:t>
            </w:r>
          </w:p>
        </w:tc>
        <w:tc>
          <w:tcPr>
            <w:tcW w:w="896" w:type="dxa"/>
            <w:tcBorders>
              <w:top w:val="single" w:color="auto" w:sz="4" w:space="0"/>
              <w:left w:val="nil"/>
              <w:bottom w:val="single" w:color="auto" w:sz="4" w:space="0"/>
              <w:right w:val="single" w:color="auto" w:sz="4" w:space="0"/>
            </w:tcBorders>
            <w:vAlign w:val="center"/>
          </w:tcPr>
          <w:p w14:paraId="00B5C90B">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992" w:type="dxa"/>
            <w:tcBorders>
              <w:top w:val="single" w:color="auto" w:sz="4" w:space="0"/>
              <w:left w:val="nil"/>
              <w:bottom w:val="single" w:color="auto" w:sz="4" w:space="0"/>
              <w:right w:val="single" w:color="auto" w:sz="4" w:space="0"/>
            </w:tcBorders>
            <w:vAlign w:val="center"/>
          </w:tcPr>
          <w:p w14:paraId="32473C69">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公开</w:t>
            </w:r>
          </w:p>
        </w:tc>
        <w:tc>
          <w:tcPr>
            <w:tcW w:w="1843" w:type="dxa"/>
            <w:tcBorders>
              <w:top w:val="single" w:color="auto" w:sz="4" w:space="0"/>
              <w:left w:val="nil"/>
              <w:bottom w:val="single" w:color="auto" w:sz="4" w:space="0"/>
              <w:right w:val="single" w:color="auto" w:sz="4" w:space="0"/>
            </w:tcBorders>
            <w:vAlign w:val="center"/>
          </w:tcPr>
          <w:p w14:paraId="36F0F60F">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考核预决算是否在“双平台”进行公开，内容和时限是否符合要求</w:t>
            </w:r>
          </w:p>
        </w:tc>
        <w:tc>
          <w:tcPr>
            <w:tcW w:w="2126" w:type="dxa"/>
            <w:tcBorders>
              <w:top w:val="single" w:color="auto" w:sz="4" w:space="0"/>
              <w:left w:val="nil"/>
              <w:bottom w:val="single" w:color="auto" w:sz="4" w:space="0"/>
              <w:right w:val="single" w:color="auto" w:sz="4" w:space="0"/>
            </w:tcBorders>
            <w:vAlign w:val="center"/>
          </w:tcPr>
          <w:p w14:paraId="725F5EB0">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预决算信息及时公开得满分，否则不得分。</w:t>
            </w:r>
          </w:p>
        </w:tc>
        <w:tc>
          <w:tcPr>
            <w:tcW w:w="824" w:type="dxa"/>
            <w:tcBorders>
              <w:top w:val="single" w:color="auto" w:sz="4" w:space="0"/>
              <w:left w:val="nil"/>
              <w:bottom w:val="single" w:color="auto" w:sz="4" w:space="0"/>
              <w:right w:val="single" w:color="auto" w:sz="4" w:space="0"/>
            </w:tcBorders>
            <w:vAlign w:val="center"/>
          </w:tcPr>
          <w:p w14:paraId="11C9A371">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4185" w:type="dxa"/>
            <w:tcBorders>
              <w:top w:val="single" w:color="auto" w:sz="4" w:space="0"/>
              <w:left w:val="nil"/>
              <w:bottom w:val="single" w:color="auto" w:sz="4" w:space="0"/>
              <w:right w:val="single" w:color="auto" w:sz="4" w:space="0"/>
            </w:tcBorders>
            <w:vAlign w:val="center"/>
          </w:tcPr>
          <w:p w14:paraId="1AE1F34A">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预决算信息已在南京妇女网和江苏省预决算公开统一平台公开发布。</w:t>
            </w:r>
          </w:p>
        </w:tc>
      </w:tr>
      <w:tr w14:paraId="7E54028B">
        <w:tblPrEx>
          <w:tblCellMar>
            <w:top w:w="0" w:type="dxa"/>
            <w:left w:w="108" w:type="dxa"/>
            <w:bottom w:w="0" w:type="dxa"/>
            <w:right w:w="108" w:type="dxa"/>
          </w:tblCellMar>
        </w:tblPrEx>
        <w:trPr>
          <w:trHeight w:val="1533" w:hRule="atLeast"/>
          <w:jc w:val="center"/>
        </w:trPr>
        <w:tc>
          <w:tcPr>
            <w:tcW w:w="1324" w:type="dxa"/>
            <w:vMerge w:val="continue"/>
            <w:tcBorders>
              <w:top w:val="single" w:color="auto" w:sz="4" w:space="0"/>
              <w:left w:val="single" w:color="auto" w:sz="4" w:space="0"/>
              <w:bottom w:val="single" w:color="auto" w:sz="4" w:space="0"/>
              <w:right w:val="single" w:color="auto" w:sz="4" w:space="0"/>
            </w:tcBorders>
            <w:vAlign w:val="center"/>
          </w:tcPr>
          <w:p w14:paraId="3A96469F">
            <w:pPr>
              <w:spacing w:line="360" w:lineRule="exact"/>
              <w:ind w:firstLine="496"/>
              <w:jc w:val="center"/>
              <w:rPr>
                <w:rFonts w:ascii="Times New Roman" w:hAnsi="Times New Roman" w:eastAsia="宋体"/>
                <w:kern w:val="0"/>
                <w:sz w:val="24"/>
                <w:szCs w:val="24"/>
              </w:rPr>
            </w:pPr>
          </w:p>
        </w:tc>
        <w:tc>
          <w:tcPr>
            <w:tcW w:w="1187" w:type="dxa"/>
            <w:vMerge w:val="restart"/>
            <w:tcBorders>
              <w:top w:val="single" w:color="auto" w:sz="4" w:space="0"/>
              <w:left w:val="single" w:color="auto" w:sz="4" w:space="0"/>
              <w:bottom w:val="single" w:color="auto" w:sz="4" w:space="0"/>
              <w:right w:val="single" w:color="auto" w:sz="4" w:space="0"/>
            </w:tcBorders>
            <w:vAlign w:val="center"/>
          </w:tcPr>
          <w:p w14:paraId="7EB7CA99">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B2收支管理</w:t>
            </w:r>
          </w:p>
          <w:p w14:paraId="51DC3D84">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（2分）</w:t>
            </w:r>
          </w:p>
        </w:tc>
        <w:tc>
          <w:tcPr>
            <w:tcW w:w="1440" w:type="dxa"/>
            <w:tcBorders>
              <w:top w:val="single" w:color="auto" w:sz="4" w:space="0"/>
              <w:left w:val="single" w:color="auto" w:sz="4" w:space="0"/>
              <w:bottom w:val="single" w:color="auto" w:sz="4" w:space="0"/>
              <w:right w:val="single" w:color="auto" w:sz="4" w:space="0"/>
            </w:tcBorders>
            <w:vAlign w:val="center"/>
          </w:tcPr>
          <w:p w14:paraId="31513C4F">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B21收支管理制度健全性</w:t>
            </w:r>
          </w:p>
        </w:tc>
        <w:tc>
          <w:tcPr>
            <w:tcW w:w="896" w:type="dxa"/>
            <w:tcBorders>
              <w:top w:val="single" w:color="auto" w:sz="4" w:space="0"/>
              <w:left w:val="nil"/>
              <w:bottom w:val="single" w:color="auto" w:sz="4" w:space="0"/>
              <w:right w:val="single" w:color="auto" w:sz="4" w:space="0"/>
            </w:tcBorders>
            <w:vAlign w:val="center"/>
          </w:tcPr>
          <w:p w14:paraId="774DF993">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992" w:type="dxa"/>
            <w:tcBorders>
              <w:top w:val="single" w:color="auto" w:sz="4" w:space="0"/>
              <w:left w:val="nil"/>
              <w:bottom w:val="single" w:color="auto" w:sz="4" w:space="0"/>
              <w:right w:val="single" w:color="auto" w:sz="4" w:space="0"/>
            </w:tcBorders>
            <w:vAlign w:val="center"/>
          </w:tcPr>
          <w:p w14:paraId="7135A646">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健全</w:t>
            </w:r>
          </w:p>
        </w:tc>
        <w:tc>
          <w:tcPr>
            <w:tcW w:w="1843" w:type="dxa"/>
            <w:tcBorders>
              <w:top w:val="single" w:color="auto" w:sz="4" w:space="0"/>
              <w:left w:val="nil"/>
              <w:bottom w:val="single" w:color="auto" w:sz="4" w:space="0"/>
              <w:right w:val="single" w:color="auto" w:sz="4" w:space="0"/>
            </w:tcBorders>
            <w:vAlign w:val="center"/>
          </w:tcPr>
          <w:p w14:paraId="6F0466B3">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考核收支管理制度的健全性</w:t>
            </w:r>
          </w:p>
        </w:tc>
        <w:tc>
          <w:tcPr>
            <w:tcW w:w="2126" w:type="dxa"/>
            <w:tcBorders>
              <w:top w:val="single" w:color="auto" w:sz="4" w:space="0"/>
              <w:left w:val="nil"/>
              <w:bottom w:val="single" w:color="auto" w:sz="4" w:space="0"/>
              <w:right w:val="single" w:color="auto" w:sz="4" w:space="0"/>
            </w:tcBorders>
            <w:vAlign w:val="center"/>
          </w:tcPr>
          <w:p w14:paraId="1343CA85">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收支管理制度健全得满分，否则不得分。</w:t>
            </w:r>
          </w:p>
        </w:tc>
        <w:tc>
          <w:tcPr>
            <w:tcW w:w="824" w:type="dxa"/>
            <w:tcBorders>
              <w:top w:val="single" w:color="auto" w:sz="4" w:space="0"/>
              <w:left w:val="nil"/>
              <w:bottom w:val="single" w:color="auto" w:sz="4" w:space="0"/>
              <w:right w:val="single" w:color="auto" w:sz="4" w:space="0"/>
            </w:tcBorders>
            <w:vAlign w:val="center"/>
          </w:tcPr>
          <w:p w14:paraId="442ABC95">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4185" w:type="dxa"/>
            <w:tcBorders>
              <w:top w:val="single" w:color="auto" w:sz="4" w:space="0"/>
              <w:left w:val="nil"/>
              <w:bottom w:val="single" w:color="auto" w:sz="4" w:space="0"/>
              <w:right w:val="single" w:color="auto" w:sz="4" w:space="0"/>
            </w:tcBorders>
            <w:vAlign w:val="center"/>
          </w:tcPr>
          <w:p w14:paraId="6357751A">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修订了《南京市妇联</w:t>
            </w:r>
            <w:r>
              <w:rPr>
                <w:rFonts w:hint="eastAsia" w:ascii="Times New Roman" w:hAnsi="Times New Roman" w:eastAsia="宋体"/>
                <w:kern w:val="0"/>
                <w:sz w:val="24"/>
                <w:szCs w:val="24"/>
              </w:rPr>
              <w:t>财务</w:t>
            </w:r>
            <w:r>
              <w:rPr>
                <w:rFonts w:ascii="Times New Roman" w:hAnsi="Times New Roman" w:eastAsia="宋体"/>
                <w:kern w:val="0"/>
                <w:sz w:val="24"/>
                <w:szCs w:val="24"/>
              </w:rPr>
              <w:t>管理办法》</w:t>
            </w:r>
            <w:r>
              <w:rPr>
                <w:rFonts w:hint="eastAsia" w:ascii="Times New Roman" w:hAnsi="Times New Roman" w:eastAsia="宋体"/>
                <w:kern w:val="0"/>
                <w:sz w:val="24"/>
                <w:szCs w:val="24"/>
              </w:rPr>
              <w:t>和《南京市妇联收支业务内部控制制度》</w:t>
            </w:r>
            <w:r>
              <w:rPr>
                <w:rFonts w:ascii="Times New Roman" w:hAnsi="Times New Roman" w:eastAsia="宋体"/>
                <w:kern w:val="0"/>
                <w:sz w:val="24"/>
                <w:szCs w:val="24"/>
              </w:rPr>
              <w:t>，对各类具体收支管理规定进行了更新优化，制度建设健全。</w:t>
            </w:r>
          </w:p>
        </w:tc>
      </w:tr>
      <w:tr w14:paraId="52002A2A">
        <w:tblPrEx>
          <w:tblCellMar>
            <w:top w:w="0" w:type="dxa"/>
            <w:left w:w="108" w:type="dxa"/>
            <w:bottom w:w="0" w:type="dxa"/>
            <w:right w:w="108" w:type="dxa"/>
          </w:tblCellMar>
        </w:tblPrEx>
        <w:trPr>
          <w:trHeight w:val="1555" w:hRule="atLeast"/>
          <w:jc w:val="center"/>
        </w:trPr>
        <w:tc>
          <w:tcPr>
            <w:tcW w:w="1324" w:type="dxa"/>
            <w:vMerge w:val="continue"/>
            <w:tcBorders>
              <w:top w:val="single" w:color="auto" w:sz="4" w:space="0"/>
              <w:left w:val="single" w:color="auto" w:sz="4" w:space="0"/>
              <w:bottom w:val="single" w:color="auto" w:sz="4" w:space="0"/>
              <w:right w:val="single" w:color="auto" w:sz="4" w:space="0"/>
            </w:tcBorders>
            <w:vAlign w:val="center"/>
          </w:tcPr>
          <w:p w14:paraId="4B7F13FE">
            <w:pPr>
              <w:spacing w:line="360" w:lineRule="exact"/>
              <w:ind w:firstLine="496"/>
              <w:jc w:val="center"/>
              <w:rPr>
                <w:rFonts w:ascii="Times New Roman" w:hAnsi="Times New Roman" w:eastAsia="宋体"/>
                <w:kern w:val="0"/>
                <w:sz w:val="24"/>
                <w:szCs w:val="24"/>
              </w:rPr>
            </w:pPr>
          </w:p>
        </w:tc>
        <w:tc>
          <w:tcPr>
            <w:tcW w:w="1187" w:type="dxa"/>
            <w:vMerge w:val="continue"/>
            <w:tcBorders>
              <w:top w:val="single" w:color="auto" w:sz="4" w:space="0"/>
              <w:left w:val="single" w:color="auto" w:sz="4" w:space="0"/>
              <w:bottom w:val="single" w:color="auto" w:sz="4" w:space="0"/>
              <w:right w:val="single" w:color="auto" w:sz="4" w:space="0"/>
            </w:tcBorders>
            <w:vAlign w:val="center"/>
          </w:tcPr>
          <w:p w14:paraId="25CABE2C">
            <w:pPr>
              <w:spacing w:line="320" w:lineRule="exact"/>
              <w:ind w:firstLine="0" w:firstLineChars="0"/>
              <w:jc w:val="left"/>
              <w:rPr>
                <w:rFonts w:ascii="Times New Roman" w:hAnsi="Times New Roman" w:eastAsia="宋体"/>
                <w:kern w:val="0"/>
                <w:sz w:val="24"/>
                <w:szCs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13CFDA87">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B22收支管理是否按制度执行</w:t>
            </w:r>
          </w:p>
        </w:tc>
        <w:tc>
          <w:tcPr>
            <w:tcW w:w="896" w:type="dxa"/>
            <w:tcBorders>
              <w:top w:val="single" w:color="auto" w:sz="4" w:space="0"/>
              <w:left w:val="nil"/>
              <w:bottom w:val="single" w:color="auto" w:sz="4" w:space="0"/>
              <w:right w:val="single" w:color="auto" w:sz="4" w:space="0"/>
            </w:tcBorders>
            <w:vAlign w:val="center"/>
          </w:tcPr>
          <w:p w14:paraId="6C293C80">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992" w:type="dxa"/>
            <w:tcBorders>
              <w:top w:val="single" w:color="auto" w:sz="4" w:space="0"/>
              <w:left w:val="nil"/>
              <w:bottom w:val="single" w:color="auto" w:sz="4" w:space="0"/>
              <w:right w:val="single" w:color="auto" w:sz="4" w:space="0"/>
            </w:tcBorders>
            <w:vAlign w:val="center"/>
          </w:tcPr>
          <w:p w14:paraId="72A73740">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执行</w:t>
            </w:r>
          </w:p>
        </w:tc>
        <w:tc>
          <w:tcPr>
            <w:tcW w:w="1843" w:type="dxa"/>
            <w:tcBorders>
              <w:top w:val="single" w:color="auto" w:sz="4" w:space="0"/>
              <w:left w:val="nil"/>
              <w:bottom w:val="single" w:color="auto" w:sz="4" w:space="0"/>
              <w:right w:val="single" w:color="auto" w:sz="4" w:space="0"/>
            </w:tcBorders>
            <w:vAlign w:val="center"/>
          </w:tcPr>
          <w:p w14:paraId="4B3E3214">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考核收支管理是否按制度执行</w:t>
            </w:r>
          </w:p>
        </w:tc>
        <w:tc>
          <w:tcPr>
            <w:tcW w:w="2126" w:type="dxa"/>
            <w:tcBorders>
              <w:top w:val="single" w:color="auto" w:sz="4" w:space="0"/>
              <w:left w:val="nil"/>
              <w:bottom w:val="single" w:color="auto" w:sz="4" w:space="0"/>
              <w:right w:val="single" w:color="auto" w:sz="4" w:space="0"/>
            </w:tcBorders>
            <w:vAlign w:val="center"/>
          </w:tcPr>
          <w:p w14:paraId="25544C03">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收支管理按制度执行得满分，否则不得分。</w:t>
            </w:r>
          </w:p>
        </w:tc>
        <w:tc>
          <w:tcPr>
            <w:tcW w:w="824" w:type="dxa"/>
            <w:tcBorders>
              <w:top w:val="single" w:color="auto" w:sz="4" w:space="0"/>
              <w:left w:val="nil"/>
              <w:bottom w:val="single" w:color="auto" w:sz="4" w:space="0"/>
              <w:right w:val="single" w:color="auto" w:sz="4" w:space="0"/>
            </w:tcBorders>
            <w:vAlign w:val="center"/>
          </w:tcPr>
          <w:p w14:paraId="631D0A26">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4185" w:type="dxa"/>
            <w:tcBorders>
              <w:top w:val="single" w:color="auto" w:sz="4" w:space="0"/>
              <w:left w:val="nil"/>
              <w:bottom w:val="single" w:color="auto" w:sz="4" w:space="0"/>
              <w:right w:val="single" w:color="auto" w:sz="4" w:space="0"/>
            </w:tcBorders>
            <w:vAlign w:val="center"/>
          </w:tcPr>
          <w:p w14:paraId="7460F561">
            <w:pPr>
              <w:spacing w:line="320" w:lineRule="exact"/>
              <w:ind w:firstLine="0" w:firstLineChars="0"/>
              <w:jc w:val="left"/>
              <w:rPr>
                <w:rFonts w:ascii="Times New Roman" w:hAnsi="Times New Roman" w:eastAsia="宋体"/>
                <w:kern w:val="0"/>
                <w:sz w:val="24"/>
                <w:szCs w:val="24"/>
              </w:rPr>
            </w:pPr>
            <w:r>
              <w:rPr>
                <w:rFonts w:hint="eastAsia" w:ascii="Times New Roman" w:hAnsi="Times New Roman" w:eastAsia="宋体"/>
                <w:kern w:val="0"/>
                <w:sz w:val="24"/>
                <w:szCs w:val="24"/>
              </w:rPr>
              <w:t>日常报销严格按照收支管理相关制度执行，</w:t>
            </w:r>
            <w:r>
              <w:rPr>
                <w:rFonts w:ascii="Times New Roman" w:hAnsi="Times New Roman" w:eastAsia="宋体"/>
                <w:kern w:val="0"/>
                <w:sz w:val="24"/>
                <w:szCs w:val="24"/>
              </w:rPr>
              <w:t>做账规范，后附材料齐全，会议纪要记录详细规范。</w:t>
            </w:r>
          </w:p>
        </w:tc>
      </w:tr>
      <w:tr w14:paraId="29EA4C2D">
        <w:tblPrEx>
          <w:tblCellMar>
            <w:top w:w="0" w:type="dxa"/>
            <w:left w:w="108" w:type="dxa"/>
            <w:bottom w:w="0" w:type="dxa"/>
            <w:right w:w="108" w:type="dxa"/>
          </w:tblCellMar>
        </w:tblPrEx>
        <w:trPr>
          <w:trHeight w:val="1630" w:hRule="atLeast"/>
          <w:jc w:val="center"/>
        </w:trPr>
        <w:tc>
          <w:tcPr>
            <w:tcW w:w="1324" w:type="dxa"/>
            <w:vMerge w:val="continue"/>
            <w:tcBorders>
              <w:top w:val="single" w:color="auto" w:sz="4" w:space="0"/>
              <w:left w:val="single" w:color="auto" w:sz="4" w:space="0"/>
              <w:bottom w:val="single" w:color="auto" w:sz="4" w:space="0"/>
              <w:right w:val="single" w:color="auto" w:sz="4" w:space="0"/>
            </w:tcBorders>
            <w:vAlign w:val="center"/>
          </w:tcPr>
          <w:p w14:paraId="6297CBC3">
            <w:pPr>
              <w:spacing w:line="360" w:lineRule="exact"/>
              <w:ind w:firstLine="0" w:firstLineChars="0"/>
              <w:jc w:val="center"/>
              <w:rPr>
                <w:rFonts w:ascii="Times New Roman" w:hAnsi="Times New Roman" w:eastAsia="宋体"/>
                <w:kern w:val="0"/>
                <w:sz w:val="24"/>
                <w:szCs w:val="24"/>
              </w:rPr>
            </w:pPr>
          </w:p>
        </w:tc>
        <w:tc>
          <w:tcPr>
            <w:tcW w:w="1187" w:type="dxa"/>
            <w:vMerge w:val="restart"/>
            <w:tcBorders>
              <w:top w:val="single" w:color="auto" w:sz="4" w:space="0"/>
              <w:left w:val="single" w:color="auto" w:sz="4" w:space="0"/>
              <w:bottom w:val="single" w:color="auto" w:sz="4" w:space="0"/>
              <w:right w:val="single" w:color="auto" w:sz="4" w:space="0"/>
            </w:tcBorders>
            <w:vAlign w:val="center"/>
          </w:tcPr>
          <w:p w14:paraId="5121AC07">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B3资产管理</w:t>
            </w:r>
          </w:p>
          <w:p w14:paraId="4F31DD76">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（2分）</w:t>
            </w:r>
          </w:p>
        </w:tc>
        <w:tc>
          <w:tcPr>
            <w:tcW w:w="1440" w:type="dxa"/>
            <w:tcBorders>
              <w:top w:val="single" w:color="auto" w:sz="4" w:space="0"/>
              <w:left w:val="single" w:color="auto" w:sz="4" w:space="0"/>
              <w:bottom w:val="single" w:color="auto" w:sz="4" w:space="0"/>
              <w:right w:val="single" w:color="auto" w:sz="4" w:space="0"/>
            </w:tcBorders>
            <w:vAlign w:val="center"/>
          </w:tcPr>
          <w:p w14:paraId="337343C2">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B31资产管理制度健全性</w:t>
            </w:r>
          </w:p>
        </w:tc>
        <w:tc>
          <w:tcPr>
            <w:tcW w:w="896" w:type="dxa"/>
            <w:tcBorders>
              <w:top w:val="single" w:color="auto" w:sz="4" w:space="0"/>
              <w:left w:val="nil"/>
              <w:bottom w:val="single" w:color="auto" w:sz="4" w:space="0"/>
              <w:right w:val="single" w:color="auto" w:sz="4" w:space="0"/>
            </w:tcBorders>
            <w:vAlign w:val="center"/>
          </w:tcPr>
          <w:p w14:paraId="01C2C432">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992" w:type="dxa"/>
            <w:tcBorders>
              <w:top w:val="single" w:color="auto" w:sz="4" w:space="0"/>
              <w:left w:val="nil"/>
              <w:bottom w:val="single" w:color="auto" w:sz="4" w:space="0"/>
              <w:right w:val="single" w:color="auto" w:sz="4" w:space="0"/>
            </w:tcBorders>
            <w:vAlign w:val="center"/>
          </w:tcPr>
          <w:p w14:paraId="59C88A13">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健全</w:t>
            </w:r>
          </w:p>
        </w:tc>
        <w:tc>
          <w:tcPr>
            <w:tcW w:w="1843" w:type="dxa"/>
            <w:tcBorders>
              <w:top w:val="single" w:color="auto" w:sz="4" w:space="0"/>
              <w:left w:val="nil"/>
              <w:bottom w:val="single" w:color="auto" w:sz="4" w:space="0"/>
              <w:right w:val="single" w:color="auto" w:sz="4" w:space="0"/>
            </w:tcBorders>
            <w:vAlign w:val="center"/>
          </w:tcPr>
          <w:p w14:paraId="7664807E">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考核资产管理制度健全性</w:t>
            </w:r>
          </w:p>
        </w:tc>
        <w:tc>
          <w:tcPr>
            <w:tcW w:w="2126" w:type="dxa"/>
            <w:tcBorders>
              <w:top w:val="single" w:color="auto" w:sz="4" w:space="0"/>
              <w:left w:val="nil"/>
              <w:bottom w:val="single" w:color="auto" w:sz="4" w:space="0"/>
              <w:right w:val="single" w:color="auto" w:sz="4" w:space="0"/>
            </w:tcBorders>
            <w:vAlign w:val="center"/>
          </w:tcPr>
          <w:p w14:paraId="466C41B5">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资产管理制度健全得满分，否则不得分。</w:t>
            </w:r>
          </w:p>
        </w:tc>
        <w:tc>
          <w:tcPr>
            <w:tcW w:w="824" w:type="dxa"/>
            <w:tcBorders>
              <w:top w:val="single" w:color="auto" w:sz="4" w:space="0"/>
              <w:left w:val="nil"/>
              <w:bottom w:val="single" w:color="auto" w:sz="4" w:space="0"/>
              <w:right w:val="single" w:color="auto" w:sz="4" w:space="0"/>
            </w:tcBorders>
            <w:vAlign w:val="center"/>
          </w:tcPr>
          <w:p w14:paraId="587995AB">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4185" w:type="dxa"/>
            <w:tcBorders>
              <w:top w:val="single" w:color="auto" w:sz="4" w:space="0"/>
              <w:left w:val="nil"/>
              <w:bottom w:val="single" w:color="auto" w:sz="4" w:space="0"/>
              <w:right w:val="single" w:color="auto" w:sz="4" w:space="0"/>
            </w:tcBorders>
            <w:vAlign w:val="center"/>
          </w:tcPr>
          <w:p w14:paraId="0F22B7FC">
            <w:pPr>
              <w:spacing w:line="320" w:lineRule="exact"/>
              <w:ind w:firstLine="0" w:firstLineChars="0"/>
              <w:jc w:val="left"/>
              <w:rPr>
                <w:rFonts w:ascii="Times New Roman" w:hAnsi="Times New Roman" w:eastAsia="宋体"/>
                <w:kern w:val="0"/>
                <w:sz w:val="24"/>
                <w:szCs w:val="24"/>
              </w:rPr>
            </w:pPr>
            <w:r>
              <w:rPr>
                <w:rFonts w:hint="eastAsia" w:ascii="Times New Roman" w:hAnsi="Times New Roman" w:eastAsia="宋体"/>
                <w:kern w:val="0"/>
                <w:sz w:val="24"/>
                <w:szCs w:val="24"/>
              </w:rPr>
              <w:t>修</w:t>
            </w:r>
            <w:r>
              <w:rPr>
                <w:rFonts w:ascii="Times New Roman" w:hAnsi="Times New Roman" w:eastAsia="宋体"/>
                <w:kern w:val="0"/>
                <w:sz w:val="24"/>
                <w:szCs w:val="24"/>
              </w:rPr>
              <w:t>订了《南京市妇联</w:t>
            </w:r>
            <w:r>
              <w:rPr>
                <w:rFonts w:hint="eastAsia" w:ascii="Times New Roman" w:hAnsi="Times New Roman" w:eastAsia="宋体"/>
                <w:kern w:val="0"/>
                <w:sz w:val="24"/>
                <w:szCs w:val="24"/>
              </w:rPr>
              <w:t>资产</w:t>
            </w:r>
            <w:r>
              <w:rPr>
                <w:rFonts w:ascii="Times New Roman" w:hAnsi="Times New Roman" w:eastAsia="宋体"/>
                <w:kern w:val="0"/>
                <w:sz w:val="24"/>
                <w:szCs w:val="24"/>
              </w:rPr>
              <w:t>管理</w:t>
            </w:r>
            <w:r>
              <w:rPr>
                <w:rFonts w:hint="eastAsia" w:ascii="Times New Roman" w:hAnsi="Times New Roman" w:eastAsia="宋体"/>
                <w:kern w:val="0"/>
                <w:sz w:val="24"/>
                <w:szCs w:val="24"/>
              </w:rPr>
              <w:t>内部控制</w:t>
            </w:r>
            <w:r>
              <w:rPr>
                <w:rFonts w:ascii="Times New Roman" w:hAnsi="Times New Roman" w:eastAsia="宋体"/>
                <w:kern w:val="0"/>
                <w:sz w:val="24"/>
                <w:szCs w:val="24"/>
              </w:rPr>
              <w:t>制度》，</w:t>
            </w:r>
            <w:r>
              <w:rPr>
                <w:rFonts w:hint="eastAsia" w:ascii="Times New Roman" w:hAnsi="Times New Roman" w:eastAsia="宋体"/>
                <w:kern w:val="0"/>
                <w:sz w:val="24"/>
                <w:szCs w:val="24"/>
              </w:rPr>
              <w:t>对原有资产管理规定进行了更新优化，制</w:t>
            </w:r>
            <w:r>
              <w:rPr>
                <w:rFonts w:ascii="Times New Roman" w:hAnsi="Times New Roman" w:eastAsia="宋体"/>
                <w:kern w:val="0"/>
                <w:sz w:val="24"/>
                <w:szCs w:val="24"/>
              </w:rPr>
              <w:t>度建设比较健全。</w:t>
            </w:r>
          </w:p>
        </w:tc>
      </w:tr>
      <w:tr w14:paraId="483A2895">
        <w:tblPrEx>
          <w:tblCellMar>
            <w:top w:w="0" w:type="dxa"/>
            <w:left w:w="108" w:type="dxa"/>
            <w:bottom w:w="0" w:type="dxa"/>
            <w:right w:w="108" w:type="dxa"/>
          </w:tblCellMar>
        </w:tblPrEx>
        <w:trPr>
          <w:trHeight w:val="1200" w:hRule="atLeast"/>
          <w:jc w:val="center"/>
        </w:trPr>
        <w:tc>
          <w:tcPr>
            <w:tcW w:w="1324" w:type="dxa"/>
            <w:vMerge w:val="continue"/>
            <w:tcBorders>
              <w:top w:val="single" w:color="auto" w:sz="4" w:space="0"/>
              <w:left w:val="single" w:color="auto" w:sz="4" w:space="0"/>
              <w:bottom w:val="single" w:color="auto" w:sz="4" w:space="0"/>
              <w:right w:val="single" w:color="auto" w:sz="4" w:space="0"/>
            </w:tcBorders>
            <w:vAlign w:val="center"/>
          </w:tcPr>
          <w:p w14:paraId="17F87AE5">
            <w:pPr>
              <w:spacing w:line="360" w:lineRule="exact"/>
              <w:ind w:firstLine="0" w:firstLineChars="0"/>
              <w:jc w:val="left"/>
              <w:rPr>
                <w:rFonts w:ascii="Times New Roman" w:hAnsi="Times New Roman" w:eastAsia="宋体"/>
                <w:kern w:val="0"/>
                <w:sz w:val="24"/>
                <w:szCs w:val="24"/>
              </w:rPr>
            </w:pPr>
          </w:p>
        </w:tc>
        <w:tc>
          <w:tcPr>
            <w:tcW w:w="1187" w:type="dxa"/>
            <w:vMerge w:val="continue"/>
            <w:tcBorders>
              <w:top w:val="single" w:color="auto" w:sz="4" w:space="0"/>
              <w:left w:val="single" w:color="auto" w:sz="4" w:space="0"/>
              <w:bottom w:val="single" w:color="auto" w:sz="4" w:space="0"/>
              <w:right w:val="single" w:color="auto" w:sz="4" w:space="0"/>
            </w:tcBorders>
            <w:vAlign w:val="center"/>
          </w:tcPr>
          <w:p w14:paraId="6DAE7959">
            <w:pPr>
              <w:spacing w:line="320" w:lineRule="exact"/>
              <w:ind w:firstLine="0" w:firstLineChars="0"/>
              <w:jc w:val="left"/>
              <w:rPr>
                <w:rFonts w:ascii="Times New Roman" w:hAnsi="Times New Roman" w:eastAsia="宋体"/>
                <w:kern w:val="0"/>
                <w:sz w:val="24"/>
                <w:szCs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42A33063">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B32资产管理是否按制度执行</w:t>
            </w:r>
          </w:p>
        </w:tc>
        <w:tc>
          <w:tcPr>
            <w:tcW w:w="896" w:type="dxa"/>
            <w:tcBorders>
              <w:top w:val="single" w:color="auto" w:sz="4" w:space="0"/>
              <w:left w:val="nil"/>
              <w:bottom w:val="single" w:color="auto" w:sz="4" w:space="0"/>
              <w:right w:val="single" w:color="auto" w:sz="4" w:space="0"/>
            </w:tcBorders>
            <w:vAlign w:val="center"/>
          </w:tcPr>
          <w:p w14:paraId="19666D2E">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992" w:type="dxa"/>
            <w:tcBorders>
              <w:top w:val="single" w:color="auto" w:sz="4" w:space="0"/>
              <w:left w:val="nil"/>
              <w:bottom w:val="single" w:color="auto" w:sz="4" w:space="0"/>
              <w:right w:val="single" w:color="auto" w:sz="4" w:space="0"/>
            </w:tcBorders>
            <w:vAlign w:val="center"/>
          </w:tcPr>
          <w:p w14:paraId="39F1D4E7">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执行</w:t>
            </w:r>
          </w:p>
        </w:tc>
        <w:tc>
          <w:tcPr>
            <w:tcW w:w="1843" w:type="dxa"/>
            <w:tcBorders>
              <w:top w:val="single" w:color="auto" w:sz="4" w:space="0"/>
              <w:left w:val="nil"/>
              <w:bottom w:val="single" w:color="auto" w:sz="4" w:space="0"/>
              <w:right w:val="single" w:color="auto" w:sz="4" w:space="0"/>
            </w:tcBorders>
            <w:vAlign w:val="center"/>
          </w:tcPr>
          <w:p w14:paraId="4E858315">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考核资产管理是否按制度执行</w:t>
            </w:r>
          </w:p>
        </w:tc>
        <w:tc>
          <w:tcPr>
            <w:tcW w:w="2126" w:type="dxa"/>
            <w:tcBorders>
              <w:top w:val="single" w:color="auto" w:sz="4" w:space="0"/>
              <w:left w:val="nil"/>
              <w:bottom w:val="single" w:color="auto" w:sz="4" w:space="0"/>
              <w:right w:val="single" w:color="auto" w:sz="4" w:space="0"/>
            </w:tcBorders>
            <w:vAlign w:val="center"/>
          </w:tcPr>
          <w:p w14:paraId="2D1CE821">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资产管理按制度执行得满分，否则不得分。</w:t>
            </w:r>
          </w:p>
        </w:tc>
        <w:tc>
          <w:tcPr>
            <w:tcW w:w="824" w:type="dxa"/>
            <w:tcBorders>
              <w:top w:val="single" w:color="auto" w:sz="4" w:space="0"/>
              <w:left w:val="nil"/>
              <w:bottom w:val="single" w:color="auto" w:sz="4" w:space="0"/>
              <w:right w:val="single" w:color="auto" w:sz="4" w:space="0"/>
            </w:tcBorders>
            <w:vAlign w:val="center"/>
          </w:tcPr>
          <w:p w14:paraId="378A93E6">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4185" w:type="dxa"/>
            <w:tcBorders>
              <w:top w:val="single" w:color="auto" w:sz="4" w:space="0"/>
              <w:left w:val="nil"/>
              <w:bottom w:val="single" w:color="auto" w:sz="4" w:space="0"/>
              <w:right w:val="single" w:color="auto" w:sz="4" w:space="0"/>
            </w:tcBorders>
            <w:vAlign w:val="center"/>
          </w:tcPr>
          <w:p w14:paraId="4D3CFF98">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每年盘点固定资产，资产的增加、减少和报废均根据相关制度办理。</w:t>
            </w:r>
          </w:p>
        </w:tc>
      </w:tr>
      <w:tr w14:paraId="4A36C621">
        <w:tblPrEx>
          <w:tblCellMar>
            <w:top w:w="0" w:type="dxa"/>
            <w:left w:w="108" w:type="dxa"/>
            <w:bottom w:w="0" w:type="dxa"/>
            <w:right w:w="108" w:type="dxa"/>
          </w:tblCellMar>
        </w:tblPrEx>
        <w:trPr>
          <w:trHeight w:val="480" w:hRule="atLeast"/>
          <w:jc w:val="center"/>
        </w:trPr>
        <w:tc>
          <w:tcPr>
            <w:tcW w:w="1324" w:type="dxa"/>
            <w:vMerge w:val="restart"/>
            <w:tcBorders>
              <w:top w:val="single" w:color="auto" w:sz="4" w:space="0"/>
              <w:left w:val="single" w:color="auto" w:sz="4" w:space="0"/>
              <w:bottom w:val="single" w:color="auto" w:sz="4" w:space="0"/>
              <w:right w:val="single" w:color="auto" w:sz="4" w:space="0"/>
            </w:tcBorders>
            <w:vAlign w:val="center"/>
          </w:tcPr>
          <w:p w14:paraId="1B26A485">
            <w:pPr>
              <w:spacing w:line="36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B部门管理（20分）</w:t>
            </w:r>
          </w:p>
        </w:tc>
        <w:tc>
          <w:tcPr>
            <w:tcW w:w="1187" w:type="dxa"/>
            <w:vMerge w:val="restart"/>
            <w:tcBorders>
              <w:top w:val="single" w:color="auto" w:sz="4" w:space="0"/>
              <w:left w:val="single" w:color="auto" w:sz="4" w:space="0"/>
              <w:bottom w:val="single" w:color="auto" w:sz="4" w:space="0"/>
              <w:right w:val="single" w:color="auto" w:sz="4" w:space="0"/>
            </w:tcBorders>
            <w:vAlign w:val="center"/>
          </w:tcPr>
          <w:p w14:paraId="1D655F7A">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B4政府采购管理</w:t>
            </w:r>
          </w:p>
          <w:p w14:paraId="1500AC66">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（2分）</w:t>
            </w:r>
          </w:p>
        </w:tc>
        <w:tc>
          <w:tcPr>
            <w:tcW w:w="1440" w:type="dxa"/>
            <w:tcBorders>
              <w:top w:val="single" w:color="auto" w:sz="4" w:space="0"/>
              <w:left w:val="single" w:color="auto" w:sz="4" w:space="0"/>
              <w:bottom w:val="single" w:color="auto" w:sz="4" w:space="0"/>
              <w:right w:val="single" w:color="auto" w:sz="4" w:space="0"/>
            </w:tcBorders>
            <w:vAlign w:val="center"/>
          </w:tcPr>
          <w:p w14:paraId="2885839F">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B41政府采购管理制度健全性</w:t>
            </w:r>
          </w:p>
        </w:tc>
        <w:tc>
          <w:tcPr>
            <w:tcW w:w="896" w:type="dxa"/>
            <w:tcBorders>
              <w:top w:val="single" w:color="auto" w:sz="4" w:space="0"/>
              <w:left w:val="nil"/>
              <w:bottom w:val="single" w:color="auto" w:sz="4" w:space="0"/>
              <w:right w:val="single" w:color="auto" w:sz="4" w:space="0"/>
            </w:tcBorders>
            <w:vAlign w:val="center"/>
          </w:tcPr>
          <w:p w14:paraId="23449D9E">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992" w:type="dxa"/>
            <w:tcBorders>
              <w:top w:val="single" w:color="auto" w:sz="4" w:space="0"/>
              <w:left w:val="nil"/>
              <w:bottom w:val="single" w:color="auto" w:sz="4" w:space="0"/>
              <w:right w:val="single" w:color="auto" w:sz="4" w:space="0"/>
            </w:tcBorders>
            <w:vAlign w:val="center"/>
          </w:tcPr>
          <w:p w14:paraId="76C2BE8D">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健全</w:t>
            </w:r>
          </w:p>
        </w:tc>
        <w:tc>
          <w:tcPr>
            <w:tcW w:w="1843" w:type="dxa"/>
            <w:tcBorders>
              <w:top w:val="single" w:color="auto" w:sz="4" w:space="0"/>
              <w:left w:val="nil"/>
              <w:bottom w:val="single" w:color="auto" w:sz="4" w:space="0"/>
              <w:right w:val="single" w:color="auto" w:sz="4" w:space="0"/>
            </w:tcBorders>
            <w:vAlign w:val="center"/>
          </w:tcPr>
          <w:p w14:paraId="5EE102F2">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考核政府采购管理制度是否健全</w:t>
            </w:r>
          </w:p>
        </w:tc>
        <w:tc>
          <w:tcPr>
            <w:tcW w:w="2126" w:type="dxa"/>
            <w:tcBorders>
              <w:top w:val="single" w:color="auto" w:sz="4" w:space="0"/>
              <w:left w:val="nil"/>
              <w:bottom w:val="single" w:color="auto" w:sz="4" w:space="0"/>
              <w:right w:val="single" w:color="auto" w:sz="4" w:space="0"/>
            </w:tcBorders>
            <w:vAlign w:val="center"/>
          </w:tcPr>
          <w:p w14:paraId="2AF61162">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政府采购管理制度健全得满分，否则不得分。</w:t>
            </w:r>
          </w:p>
        </w:tc>
        <w:tc>
          <w:tcPr>
            <w:tcW w:w="824" w:type="dxa"/>
            <w:tcBorders>
              <w:top w:val="single" w:color="auto" w:sz="4" w:space="0"/>
              <w:left w:val="nil"/>
              <w:bottom w:val="single" w:color="auto" w:sz="4" w:space="0"/>
              <w:right w:val="single" w:color="auto" w:sz="4" w:space="0"/>
            </w:tcBorders>
            <w:vAlign w:val="center"/>
          </w:tcPr>
          <w:p w14:paraId="0A609A9C">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4185" w:type="dxa"/>
            <w:tcBorders>
              <w:top w:val="single" w:color="auto" w:sz="4" w:space="0"/>
              <w:left w:val="nil"/>
              <w:bottom w:val="single" w:color="auto" w:sz="4" w:space="0"/>
              <w:right w:val="single" w:color="auto" w:sz="4" w:space="0"/>
            </w:tcBorders>
            <w:vAlign w:val="center"/>
          </w:tcPr>
          <w:p w14:paraId="35855A00">
            <w:pPr>
              <w:spacing w:line="320" w:lineRule="exact"/>
              <w:ind w:firstLine="0" w:firstLineChars="0"/>
              <w:jc w:val="left"/>
              <w:rPr>
                <w:rFonts w:ascii="Times New Roman" w:hAnsi="Times New Roman" w:eastAsia="宋体"/>
                <w:kern w:val="0"/>
                <w:sz w:val="24"/>
                <w:szCs w:val="24"/>
              </w:rPr>
            </w:pPr>
            <w:r>
              <w:rPr>
                <w:rFonts w:hint="eastAsia" w:ascii="Times New Roman" w:hAnsi="Times New Roman" w:eastAsia="宋体"/>
                <w:kern w:val="0"/>
                <w:sz w:val="24"/>
                <w:szCs w:val="24"/>
              </w:rPr>
              <w:t>修</w:t>
            </w:r>
            <w:r>
              <w:rPr>
                <w:rFonts w:ascii="Times New Roman" w:hAnsi="Times New Roman" w:eastAsia="宋体"/>
                <w:kern w:val="0"/>
                <w:sz w:val="24"/>
                <w:szCs w:val="24"/>
              </w:rPr>
              <w:t>订了《南京市妇联</w:t>
            </w:r>
            <w:r>
              <w:rPr>
                <w:rFonts w:hint="eastAsia" w:ascii="Times New Roman" w:hAnsi="Times New Roman" w:eastAsia="宋体"/>
                <w:kern w:val="0"/>
                <w:sz w:val="24"/>
                <w:szCs w:val="24"/>
              </w:rPr>
              <w:t>采购管理内部控制</w:t>
            </w:r>
            <w:r>
              <w:rPr>
                <w:rFonts w:ascii="Times New Roman" w:hAnsi="Times New Roman" w:eastAsia="宋体"/>
                <w:kern w:val="0"/>
                <w:sz w:val="24"/>
                <w:szCs w:val="24"/>
              </w:rPr>
              <w:t>制度》，</w:t>
            </w:r>
            <w:r>
              <w:rPr>
                <w:rFonts w:hint="eastAsia" w:ascii="Times New Roman" w:hAnsi="Times New Roman" w:eastAsia="宋体"/>
                <w:kern w:val="0"/>
                <w:sz w:val="24"/>
                <w:szCs w:val="24"/>
              </w:rPr>
              <w:t>对原有的采购相关规定进一步细化完善，</w:t>
            </w:r>
            <w:r>
              <w:rPr>
                <w:rFonts w:ascii="Times New Roman" w:hAnsi="Times New Roman" w:eastAsia="宋体"/>
                <w:kern w:val="0"/>
                <w:sz w:val="24"/>
                <w:szCs w:val="24"/>
              </w:rPr>
              <w:t>制度建设比较健全。</w:t>
            </w:r>
          </w:p>
        </w:tc>
      </w:tr>
      <w:tr w14:paraId="6174A2DC">
        <w:tblPrEx>
          <w:tblCellMar>
            <w:top w:w="0" w:type="dxa"/>
            <w:left w:w="108" w:type="dxa"/>
            <w:bottom w:w="0" w:type="dxa"/>
            <w:right w:w="108" w:type="dxa"/>
          </w:tblCellMar>
        </w:tblPrEx>
        <w:trPr>
          <w:trHeight w:val="480" w:hRule="atLeast"/>
          <w:jc w:val="center"/>
        </w:trPr>
        <w:tc>
          <w:tcPr>
            <w:tcW w:w="1324" w:type="dxa"/>
            <w:vMerge w:val="continue"/>
            <w:tcBorders>
              <w:top w:val="single" w:color="auto" w:sz="4" w:space="0"/>
              <w:left w:val="single" w:color="auto" w:sz="4" w:space="0"/>
              <w:bottom w:val="single" w:color="auto" w:sz="4" w:space="0"/>
              <w:right w:val="single" w:color="auto" w:sz="4" w:space="0"/>
            </w:tcBorders>
            <w:vAlign w:val="center"/>
          </w:tcPr>
          <w:p w14:paraId="06B55B11">
            <w:pPr>
              <w:spacing w:line="360" w:lineRule="exact"/>
              <w:ind w:firstLine="0" w:firstLineChars="0"/>
              <w:jc w:val="left"/>
              <w:rPr>
                <w:rFonts w:ascii="Times New Roman" w:hAnsi="Times New Roman" w:eastAsia="宋体"/>
                <w:kern w:val="0"/>
                <w:sz w:val="24"/>
                <w:szCs w:val="24"/>
              </w:rPr>
            </w:pPr>
          </w:p>
        </w:tc>
        <w:tc>
          <w:tcPr>
            <w:tcW w:w="1187" w:type="dxa"/>
            <w:vMerge w:val="continue"/>
            <w:tcBorders>
              <w:top w:val="single" w:color="auto" w:sz="4" w:space="0"/>
              <w:left w:val="single" w:color="auto" w:sz="4" w:space="0"/>
              <w:bottom w:val="single" w:color="auto" w:sz="4" w:space="0"/>
              <w:right w:val="single" w:color="auto" w:sz="4" w:space="0"/>
            </w:tcBorders>
            <w:vAlign w:val="center"/>
          </w:tcPr>
          <w:p w14:paraId="6CC08D12">
            <w:pPr>
              <w:spacing w:line="320" w:lineRule="exact"/>
              <w:ind w:firstLine="0" w:firstLineChars="0"/>
              <w:jc w:val="left"/>
              <w:rPr>
                <w:rFonts w:ascii="Times New Roman" w:hAnsi="Times New Roman" w:eastAsia="宋体"/>
                <w:kern w:val="0"/>
                <w:sz w:val="24"/>
                <w:szCs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2C59AD08">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B42政府采购管理是否按制度执行</w:t>
            </w:r>
          </w:p>
        </w:tc>
        <w:tc>
          <w:tcPr>
            <w:tcW w:w="896" w:type="dxa"/>
            <w:tcBorders>
              <w:top w:val="single" w:color="auto" w:sz="4" w:space="0"/>
              <w:left w:val="nil"/>
              <w:bottom w:val="single" w:color="auto" w:sz="4" w:space="0"/>
              <w:right w:val="single" w:color="auto" w:sz="4" w:space="0"/>
            </w:tcBorders>
            <w:vAlign w:val="center"/>
          </w:tcPr>
          <w:p w14:paraId="325017E4">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992" w:type="dxa"/>
            <w:tcBorders>
              <w:top w:val="single" w:color="auto" w:sz="4" w:space="0"/>
              <w:left w:val="nil"/>
              <w:bottom w:val="single" w:color="auto" w:sz="4" w:space="0"/>
              <w:right w:val="single" w:color="auto" w:sz="4" w:space="0"/>
            </w:tcBorders>
            <w:vAlign w:val="center"/>
          </w:tcPr>
          <w:p w14:paraId="144CC0CD">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执行</w:t>
            </w:r>
          </w:p>
        </w:tc>
        <w:tc>
          <w:tcPr>
            <w:tcW w:w="1843" w:type="dxa"/>
            <w:tcBorders>
              <w:top w:val="single" w:color="auto" w:sz="4" w:space="0"/>
              <w:left w:val="nil"/>
              <w:bottom w:val="single" w:color="auto" w:sz="4" w:space="0"/>
              <w:right w:val="single" w:color="auto" w:sz="4" w:space="0"/>
            </w:tcBorders>
            <w:vAlign w:val="center"/>
          </w:tcPr>
          <w:p w14:paraId="45295A1C">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考核政府采购管理是否按制度执行</w:t>
            </w:r>
          </w:p>
        </w:tc>
        <w:tc>
          <w:tcPr>
            <w:tcW w:w="2126" w:type="dxa"/>
            <w:tcBorders>
              <w:top w:val="single" w:color="auto" w:sz="4" w:space="0"/>
              <w:left w:val="nil"/>
              <w:bottom w:val="single" w:color="auto" w:sz="4" w:space="0"/>
              <w:right w:val="single" w:color="auto" w:sz="4" w:space="0"/>
            </w:tcBorders>
            <w:vAlign w:val="center"/>
          </w:tcPr>
          <w:p w14:paraId="65346F63">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政府采购管理按制度执行得满分，否则不得分。</w:t>
            </w:r>
          </w:p>
        </w:tc>
        <w:tc>
          <w:tcPr>
            <w:tcW w:w="824" w:type="dxa"/>
            <w:tcBorders>
              <w:top w:val="single" w:color="auto" w:sz="4" w:space="0"/>
              <w:left w:val="nil"/>
              <w:bottom w:val="single" w:color="auto" w:sz="4" w:space="0"/>
              <w:right w:val="single" w:color="auto" w:sz="4" w:space="0"/>
            </w:tcBorders>
            <w:vAlign w:val="center"/>
          </w:tcPr>
          <w:p w14:paraId="23414C95">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4185" w:type="dxa"/>
            <w:tcBorders>
              <w:top w:val="single" w:color="auto" w:sz="4" w:space="0"/>
              <w:left w:val="nil"/>
              <w:bottom w:val="single" w:color="auto" w:sz="4" w:space="0"/>
              <w:right w:val="single" w:color="auto" w:sz="4" w:space="0"/>
            </w:tcBorders>
            <w:vAlign w:val="center"/>
          </w:tcPr>
          <w:p w14:paraId="79CC74DC">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市妇联政府采购均按相关规定严格执行，流程规范，手续齐全。</w:t>
            </w:r>
          </w:p>
        </w:tc>
      </w:tr>
      <w:tr w14:paraId="6E660609">
        <w:tblPrEx>
          <w:tblCellMar>
            <w:top w:w="0" w:type="dxa"/>
            <w:left w:w="108" w:type="dxa"/>
            <w:bottom w:w="0" w:type="dxa"/>
            <w:right w:w="108" w:type="dxa"/>
          </w:tblCellMar>
        </w:tblPrEx>
        <w:trPr>
          <w:trHeight w:val="1828" w:hRule="atLeast"/>
          <w:jc w:val="center"/>
        </w:trPr>
        <w:tc>
          <w:tcPr>
            <w:tcW w:w="1324" w:type="dxa"/>
            <w:vMerge w:val="continue"/>
            <w:tcBorders>
              <w:top w:val="single" w:color="auto" w:sz="4" w:space="0"/>
              <w:left w:val="single" w:color="auto" w:sz="4" w:space="0"/>
              <w:bottom w:val="single" w:color="auto" w:sz="4" w:space="0"/>
              <w:right w:val="single" w:color="auto" w:sz="4" w:space="0"/>
            </w:tcBorders>
            <w:vAlign w:val="center"/>
          </w:tcPr>
          <w:p w14:paraId="7ACEFEA7">
            <w:pPr>
              <w:spacing w:line="360" w:lineRule="exact"/>
              <w:ind w:firstLine="0" w:firstLineChars="0"/>
              <w:jc w:val="left"/>
              <w:rPr>
                <w:rFonts w:ascii="Times New Roman" w:hAnsi="Times New Roman" w:eastAsia="宋体"/>
                <w:kern w:val="0"/>
                <w:sz w:val="24"/>
                <w:szCs w:val="24"/>
              </w:rPr>
            </w:pPr>
          </w:p>
        </w:tc>
        <w:tc>
          <w:tcPr>
            <w:tcW w:w="1187" w:type="dxa"/>
            <w:vMerge w:val="restart"/>
            <w:tcBorders>
              <w:top w:val="single" w:color="auto" w:sz="4" w:space="0"/>
              <w:left w:val="single" w:color="auto" w:sz="4" w:space="0"/>
              <w:bottom w:val="single" w:color="auto" w:sz="4" w:space="0"/>
              <w:right w:val="single" w:color="auto" w:sz="4" w:space="0"/>
            </w:tcBorders>
            <w:vAlign w:val="center"/>
          </w:tcPr>
          <w:p w14:paraId="64DF14A0">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B5内部控制管理</w:t>
            </w:r>
          </w:p>
          <w:p w14:paraId="3C5423CD">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（3分）</w:t>
            </w:r>
          </w:p>
        </w:tc>
        <w:tc>
          <w:tcPr>
            <w:tcW w:w="1440" w:type="dxa"/>
            <w:tcBorders>
              <w:top w:val="single" w:color="auto" w:sz="4" w:space="0"/>
              <w:left w:val="single" w:color="auto" w:sz="4" w:space="0"/>
              <w:bottom w:val="single" w:color="auto" w:sz="4" w:space="0"/>
              <w:right w:val="single" w:color="auto" w:sz="4" w:space="0"/>
            </w:tcBorders>
            <w:vAlign w:val="center"/>
          </w:tcPr>
          <w:p w14:paraId="1E15A1AD">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B51内部控制建设情况</w:t>
            </w:r>
          </w:p>
        </w:tc>
        <w:tc>
          <w:tcPr>
            <w:tcW w:w="896" w:type="dxa"/>
            <w:tcBorders>
              <w:top w:val="single" w:color="auto" w:sz="4" w:space="0"/>
              <w:left w:val="nil"/>
              <w:bottom w:val="single" w:color="auto" w:sz="4" w:space="0"/>
              <w:right w:val="single" w:color="auto" w:sz="4" w:space="0"/>
            </w:tcBorders>
            <w:vAlign w:val="center"/>
          </w:tcPr>
          <w:p w14:paraId="0088735D">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992" w:type="dxa"/>
            <w:tcBorders>
              <w:top w:val="single" w:color="auto" w:sz="4" w:space="0"/>
              <w:left w:val="nil"/>
              <w:bottom w:val="single" w:color="auto" w:sz="4" w:space="0"/>
              <w:right w:val="single" w:color="auto" w:sz="4" w:space="0"/>
            </w:tcBorders>
            <w:vAlign w:val="center"/>
          </w:tcPr>
          <w:p w14:paraId="503E03B3">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健全</w:t>
            </w:r>
          </w:p>
        </w:tc>
        <w:tc>
          <w:tcPr>
            <w:tcW w:w="1843" w:type="dxa"/>
            <w:tcBorders>
              <w:top w:val="single" w:color="auto" w:sz="4" w:space="0"/>
              <w:left w:val="nil"/>
              <w:bottom w:val="single" w:color="auto" w:sz="4" w:space="0"/>
              <w:right w:val="single" w:color="auto" w:sz="4" w:space="0"/>
            </w:tcBorders>
            <w:vAlign w:val="center"/>
          </w:tcPr>
          <w:p w14:paraId="3DCEA99B">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考核部门内部控制建设情况，是否有内部控制制度落实在手册等文本上</w:t>
            </w:r>
          </w:p>
        </w:tc>
        <w:tc>
          <w:tcPr>
            <w:tcW w:w="2126" w:type="dxa"/>
            <w:tcBorders>
              <w:top w:val="single" w:color="auto" w:sz="4" w:space="0"/>
              <w:left w:val="nil"/>
              <w:bottom w:val="single" w:color="auto" w:sz="4" w:space="0"/>
              <w:right w:val="single" w:color="auto" w:sz="4" w:space="0"/>
            </w:tcBorders>
            <w:vAlign w:val="center"/>
          </w:tcPr>
          <w:p w14:paraId="4C924021">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内部控制落实到位得满分，否则不得分。</w:t>
            </w:r>
          </w:p>
        </w:tc>
        <w:tc>
          <w:tcPr>
            <w:tcW w:w="824" w:type="dxa"/>
            <w:tcBorders>
              <w:top w:val="single" w:color="auto" w:sz="4" w:space="0"/>
              <w:left w:val="nil"/>
              <w:bottom w:val="single" w:color="auto" w:sz="4" w:space="0"/>
              <w:right w:val="single" w:color="auto" w:sz="4" w:space="0"/>
            </w:tcBorders>
            <w:vAlign w:val="center"/>
          </w:tcPr>
          <w:p w14:paraId="0096DC5A">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4185" w:type="dxa"/>
            <w:tcBorders>
              <w:top w:val="single" w:color="auto" w:sz="4" w:space="0"/>
              <w:left w:val="nil"/>
              <w:bottom w:val="single" w:color="auto" w:sz="4" w:space="0"/>
              <w:right w:val="single" w:color="auto" w:sz="4" w:space="0"/>
            </w:tcBorders>
            <w:vAlign w:val="center"/>
          </w:tcPr>
          <w:p w14:paraId="5066CD07">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内控制度建设比较规范，相应建立了预算业务管理、收支业务管理、政府采购业务管理、资产管理、项目管理、合同管理等相关制度，同时也建立不相容岗位与职责分离控制机制，内控制度落实到位。</w:t>
            </w:r>
          </w:p>
        </w:tc>
      </w:tr>
      <w:tr w14:paraId="0396601A">
        <w:tblPrEx>
          <w:tblCellMar>
            <w:top w:w="0" w:type="dxa"/>
            <w:left w:w="108" w:type="dxa"/>
            <w:bottom w:w="0" w:type="dxa"/>
            <w:right w:w="108" w:type="dxa"/>
          </w:tblCellMar>
        </w:tblPrEx>
        <w:trPr>
          <w:trHeight w:val="368" w:hRule="atLeast"/>
          <w:jc w:val="center"/>
        </w:trPr>
        <w:tc>
          <w:tcPr>
            <w:tcW w:w="1324" w:type="dxa"/>
            <w:vMerge w:val="continue"/>
            <w:tcBorders>
              <w:top w:val="single" w:color="auto" w:sz="4" w:space="0"/>
              <w:left w:val="single" w:color="auto" w:sz="4" w:space="0"/>
              <w:bottom w:val="single" w:color="auto" w:sz="4" w:space="0"/>
              <w:right w:val="single" w:color="auto" w:sz="4" w:space="0"/>
            </w:tcBorders>
            <w:vAlign w:val="center"/>
          </w:tcPr>
          <w:p w14:paraId="5935C89D">
            <w:pPr>
              <w:spacing w:line="360" w:lineRule="exact"/>
              <w:ind w:firstLine="0" w:firstLineChars="0"/>
              <w:jc w:val="left"/>
              <w:rPr>
                <w:rFonts w:ascii="Times New Roman" w:hAnsi="Times New Roman" w:eastAsia="宋体"/>
                <w:kern w:val="0"/>
                <w:sz w:val="24"/>
                <w:szCs w:val="24"/>
              </w:rPr>
            </w:pPr>
          </w:p>
        </w:tc>
        <w:tc>
          <w:tcPr>
            <w:tcW w:w="1187" w:type="dxa"/>
            <w:vMerge w:val="continue"/>
            <w:tcBorders>
              <w:top w:val="single" w:color="auto" w:sz="4" w:space="0"/>
              <w:left w:val="single" w:color="auto" w:sz="4" w:space="0"/>
              <w:bottom w:val="single" w:color="auto" w:sz="4" w:space="0"/>
              <w:right w:val="single" w:color="auto" w:sz="4" w:space="0"/>
            </w:tcBorders>
            <w:vAlign w:val="center"/>
          </w:tcPr>
          <w:p w14:paraId="4CA9A734">
            <w:pPr>
              <w:spacing w:line="320" w:lineRule="exact"/>
              <w:ind w:firstLine="0" w:firstLineChars="0"/>
              <w:jc w:val="left"/>
              <w:rPr>
                <w:rFonts w:ascii="Times New Roman" w:hAnsi="Times New Roman" w:eastAsia="宋体"/>
                <w:kern w:val="0"/>
                <w:sz w:val="24"/>
                <w:szCs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136045ED">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B52内部控制执行情况</w:t>
            </w:r>
          </w:p>
        </w:tc>
        <w:tc>
          <w:tcPr>
            <w:tcW w:w="896" w:type="dxa"/>
            <w:tcBorders>
              <w:top w:val="single" w:color="auto" w:sz="4" w:space="0"/>
              <w:left w:val="nil"/>
              <w:bottom w:val="single" w:color="auto" w:sz="4" w:space="0"/>
              <w:right w:val="single" w:color="auto" w:sz="4" w:space="0"/>
            </w:tcBorders>
            <w:vAlign w:val="center"/>
          </w:tcPr>
          <w:p w14:paraId="0EE2E53A">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992" w:type="dxa"/>
            <w:tcBorders>
              <w:top w:val="single" w:color="auto" w:sz="4" w:space="0"/>
              <w:left w:val="nil"/>
              <w:bottom w:val="single" w:color="auto" w:sz="4" w:space="0"/>
              <w:right w:val="single" w:color="auto" w:sz="4" w:space="0"/>
            </w:tcBorders>
            <w:vAlign w:val="center"/>
          </w:tcPr>
          <w:p w14:paraId="5817139B">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执行</w:t>
            </w:r>
          </w:p>
        </w:tc>
        <w:tc>
          <w:tcPr>
            <w:tcW w:w="1843" w:type="dxa"/>
            <w:tcBorders>
              <w:top w:val="single" w:color="auto" w:sz="4" w:space="0"/>
              <w:left w:val="nil"/>
              <w:bottom w:val="single" w:color="auto" w:sz="4" w:space="0"/>
              <w:right w:val="single" w:color="auto" w:sz="4" w:space="0"/>
            </w:tcBorders>
            <w:vAlign w:val="center"/>
          </w:tcPr>
          <w:p w14:paraId="15369CE2">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考核部门内部控制执行情况，通过重新执行程序评价内控是否有效</w:t>
            </w:r>
          </w:p>
        </w:tc>
        <w:tc>
          <w:tcPr>
            <w:tcW w:w="2126" w:type="dxa"/>
            <w:tcBorders>
              <w:top w:val="single" w:color="auto" w:sz="4" w:space="0"/>
              <w:left w:val="nil"/>
              <w:bottom w:val="single" w:color="auto" w:sz="4" w:space="0"/>
              <w:right w:val="single" w:color="auto" w:sz="4" w:space="0"/>
            </w:tcBorders>
            <w:vAlign w:val="center"/>
          </w:tcPr>
          <w:p w14:paraId="7D51E829">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内部控制执行有效得满分，否则不得分。</w:t>
            </w:r>
          </w:p>
        </w:tc>
        <w:tc>
          <w:tcPr>
            <w:tcW w:w="824" w:type="dxa"/>
            <w:tcBorders>
              <w:top w:val="single" w:color="auto" w:sz="4" w:space="0"/>
              <w:left w:val="nil"/>
              <w:bottom w:val="single" w:color="auto" w:sz="4" w:space="0"/>
              <w:right w:val="single" w:color="auto" w:sz="4" w:space="0"/>
            </w:tcBorders>
            <w:vAlign w:val="center"/>
          </w:tcPr>
          <w:p w14:paraId="793DBD2F">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4185" w:type="dxa"/>
            <w:tcBorders>
              <w:top w:val="single" w:color="auto" w:sz="4" w:space="0"/>
              <w:left w:val="nil"/>
              <w:bottom w:val="single" w:color="auto" w:sz="4" w:space="0"/>
              <w:right w:val="single" w:color="auto" w:sz="4" w:space="0"/>
            </w:tcBorders>
            <w:vAlign w:val="center"/>
          </w:tcPr>
          <w:p w14:paraId="365958F9">
            <w:pPr>
              <w:spacing w:line="30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对各个部门负责的事务也进行了梳理和权力配置，并且制定了审定权力清单，注明哪些事项是处长审批，哪些是分管领导审批，哪些事项需要上会，力求事权明晰，内控制度执行有效。</w:t>
            </w:r>
            <w:r>
              <w:rPr>
                <w:rFonts w:ascii="Times New Roman" w:hAnsi="Times New Roman" w:eastAsia="宋体"/>
                <w:spacing w:val="-6"/>
                <w:kern w:val="0"/>
                <w:sz w:val="24"/>
                <w:szCs w:val="24"/>
              </w:rPr>
              <w:t>“三重一大”会议纪要情况：会议纪要记录事项比较详细，对于10万以上的支出，均有详细的上会沟通情况记录，包括金额的分配支出，支出对象的情况，对资金后续的监督，都记录得比较详细；</w:t>
            </w:r>
            <w:r>
              <w:rPr>
                <w:rFonts w:ascii="Times New Roman" w:hAnsi="Times New Roman" w:eastAsia="宋体"/>
                <w:kern w:val="0"/>
                <w:sz w:val="24"/>
                <w:szCs w:val="24"/>
              </w:rPr>
              <w:t>对于重大事项的决策，各领导的观点与意见均记录得比较详细。</w:t>
            </w:r>
          </w:p>
        </w:tc>
      </w:tr>
      <w:tr w14:paraId="03BAEF78">
        <w:tblPrEx>
          <w:tblCellMar>
            <w:top w:w="0" w:type="dxa"/>
            <w:left w:w="108" w:type="dxa"/>
            <w:bottom w:w="0" w:type="dxa"/>
            <w:right w:w="108" w:type="dxa"/>
          </w:tblCellMar>
        </w:tblPrEx>
        <w:trPr>
          <w:trHeight w:val="1490" w:hRule="atLeast"/>
          <w:jc w:val="center"/>
        </w:trPr>
        <w:tc>
          <w:tcPr>
            <w:tcW w:w="1324" w:type="dxa"/>
            <w:vMerge w:val="restart"/>
            <w:tcBorders>
              <w:top w:val="single" w:color="auto" w:sz="4" w:space="0"/>
              <w:left w:val="single" w:color="auto" w:sz="4" w:space="0"/>
              <w:bottom w:val="single" w:color="auto" w:sz="4" w:space="0"/>
              <w:right w:val="single" w:color="auto" w:sz="4" w:space="0"/>
            </w:tcBorders>
            <w:vAlign w:val="center"/>
          </w:tcPr>
          <w:p w14:paraId="161982D7">
            <w:pPr>
              <w:spacing w:line="36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B部门管理（20分）</w:t>
            </w:r>
          </w:p>
        </w:tc>
        <w:tc>
          <w:tcPr>
            <w:tcW w:w="1187" w:type="dxa"/>
            <w:vMerge w:val="continue"/>
            <w:tcBorders>
              <w:top w:val="single" w:color="auto" w:sz="4" w:space="0"/>
              <w:left w:val="single" w:color="auto" w:sz="4" w:space="0"/>
              <w:bottom w:val="single" w:color="auto" w:sz="4" w:space="0"/>
              <w:right w:val="single" w:color="auto" w:sz="4" w:space="0"/>
            </w:tcBorders>
            <w:vAlign w:val="center"/>
          </w:tcPr>
          <w:p w14:paraId="1EAB654A">
            <w:pPr>
              <w:spacing w:line="320" w:lineRule="exact"/>
              <w:ind w:firstLine="0" w:firstLineChars="0"/>
              <w:jc w:val="left"/>
              <w:rPr>
                <w:rFonts w:ascii="Times New Roman" w:hAnsi="Times New Roman" w:eastAsia="宋体"/>
                <w:kern w:val="0"/>
                <w:sz w:val="24"/>
                <w:szCs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4078923D">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B53内部控制监督评价</w:t>
            </w:r>
          </w:p>
        </w:tc>
        <w:tc>
          <w:tcPr>
            <w:tcW w:w="896" w:type="dxa"/>
            <w:tcBorders>
              <w:top w:val="single" w:color="auto" w:sz="4" w:space="0"/>
              <w:left w:val="nil"/>
              <w:bottom w:val="single" w:color="auto" w:sz="4" w:space="0"/>
              <w:right w:val="single" w:color="auto" w:sz="4" w:space="0"/>
            </w:tcBorders>
            <w:vAlign w:val="center"/>
          </w:tcPr>
          <w:p w14:paraId="746F6E94">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992" w:type="dxa"/>
            <w:tcBorders>
              <w:top w:val="single" w:color="auto" w:sz="4" w:space="0"/>
              <w:left w:val="nil"/>
              <w:bottom w:val="single" w:color="auto" w:sz="4" w:space="0"/>
              <w:right w:val="single" w:color="auto" w:sz="4" w:space="0"/>
            </w:tcBorders>
            <w:vAlign w:val="center"/>
          </w:tcPr>
          <w:p w14:paraId="4D45C9FB">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有效</w:t>
            </w:r>
          </w:p>
        </w:tc>
        <w:tc>
          <w:tcPr>
            <w:tcW w:w="1843" w:type="dxa"/>
            <w:tcBorders>
              <w:top w:val="single" w:color="auto" w:sz="4" w:space="0"/>
              <w:left w:val="nil"/>
              <w:bottom w:val="single" w:color="auto" w:sz="4" w:space="0"/>
              <w:right w:val="single" w:color="auto" w:sz="4" w:space="0"/>
            </w:tcBorders>
            <w:vAlign w:val="center"/>
          </w:tcPr>
          <w:p w14:paraId="61318C59">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考核部门内部控制监督评价情况，是否有单位内部内控评价报告。</w:t>
            </w:r>
          </w:p>
        </w:tc>
        <w:tc>
          <w:tcPr>
            <w:tcW w:w="2126" w:type="dxa"/>
            <w:tcBorders>
              <w:top w:val="single" w:color="auto" w:sz="4" w:space="0"/>
              <w:left w:val="nil"/>
              <w:bottom w:val="single" w:color="auto" w:sz="4" w:space="0"/>
              <w:right w:val="single" w:color="auto" w:sz="4" w:space="0"/>
            </w:tcBorders>
            <w:vAlign w:val="center"/>
          </w:tcPr>
          <w:p w14:paraId="722D6002">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内部控制监督评价有效得满分，否则不得分。</w:t>
            </w:r>
          </w:p>
        </w:tc>
        <w:tc>
          <w:tcPr>
            <w:tcW w:w="824" w:type="dxa"/>
            <w:tcBorders>
              <w:top w:val="single" w:color="auto" w:sz="4" w:space="0"/>
              <w:left w:val="nil"/>
              <w:bottom w:val="single" w:color="auto" w:sz="4" w:space="0"/>
              <w:right w:val="single" w:color="auto" w:sz="4" w:space="0"/>
            </w:tcBorders>
            <w:vAlign w:val="center"/>
          </w:tcPr>
          <w:p w14:paraId="71E8273E">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4185" w:type="dxa"/>
            <w:tcBorders>
              <w:top w:val="single" w:color="auto" w:sz="4" w:space="0"/>
              <w:left w:val="nil"/>
              <w:bottom w:val="single" w:color="auto" w:sz="4" w:space="0"/>
              <w:right w:val="single" w:color="auto" w:sz="4" w:space="0"/>
            </w:tcBorders>
            <w:vAlign w:val="center"/>
          </w:tcPr>
          <w:p w14:paraId="5F9A9025">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建立了风险、权力、岗位、责任、制度有机结合的、完备的内控体系，内部控制监督评价有效，每年按时上报部门内部控制报告。</w:t>
            </w:r>
          </w:p>
        </w:tc>
      </w:tr>
      <w:tr w14:paraId="269402E2">
        <w:tblPrEx>
          <w:tblCellMar>
            <w:top w:w="0" w:type="dxa"/>
            <w:left w:w="108" w:type="dxa"/>
            <w:bottom w:w="0" w:type="dxa"/>
            <w:right w:w="108" w:type="dxa"/>
          </w:tblCellMar>
        </w:tblPrEx>
        <w:trPr>
          <w:trHeight w:val="480" w:hRule="atLeast"/>
          <w:jc w:val="center"/>
        </w:trPr>
        <w:tc>
          <w:tcPr>
            <w:tcW w:w="1324" w:type="dxa"/>
            <w:vMerge w:val="continue"/>
            <w:tcBorders>
              <w:top w:val="single" w:color="auto" w:sz="4" w:space="0"/>
              <w:left w:val="single" w:color="auto" w:sz="4" w:space="0"/>
              <w:bottom w:val="single" w:color="auto" w:sz="4" w:space="0"/>
              <w:right w:val="single" w:color="auto" w:sz="4" w:space="0"/>
            </w:tcBorders>
            <w:vAlign w:val="center"/>
          </w:tcPr>
          <w:p w14:paraId="44D27E2B">
            <w:pPr>
              <w:spacing w:line="360" w:lineRule="exact"/>
              <w:ind w:firstLine="0" w:firstLineChars="0"/>
              <w:jc w:val="center"/>
              <w:rPr>
                <w:rFonts w:ascii="Times New Roman" w:hAnsi="Times New Roman" w:eastAsia="宋体"/>
                <w:kern w:val="0"/>
                <w:sz w:val="24"/>
                <w:szCs w:val="24"/>
              </w:rPr>
            </w:pPr>
          </w:p>
        </w:tc>
        <w:tc>
          <w:tcPr>
            <w:tcW w:w="1187" w:type="dxa"/>
            <w:vMerge w:val="restart"/>
            <w:tcBorders>
              <w:top w:val="single" w:color="auto" w:sz="4" w:space="0"/>
              <w:left w:val="single" w:color="auto" w:sz="4" w:space="0"/>
              <w:bottom w:val="single" w:color="auto" w:sz="4" w:space="0"/>
              <w:right w:val="single" w:color="auto" w:sz="4" w:space="0"/>
            </w:tcBorders>
            <w:vAlign w:val="center"/>
          </w:tcPr>
          <w:p w14:paraId="287A0833">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B6预算绩效管理</w:t>
            </w:r>
          </w:p>
          <w:p w14:paraId="783BD6B3">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（5分）</w:t>
            </w:r>
          </w:p>
        </w:tc>
        <w:tc>
          <w:tcPr>
            <w:tcW w:w="1440" w:type="dxa"/>
            <w:tcBorders>
              <w:top w:val="single" w:color="auto" w:sz="4" w:space="0"/>
              <w:left w:val="single" w:color="auto" w:sz="4" w:space="0"/>
              <w:bottom w:val="single" w:color="auto" w:sz="4" w:space="0"/>
              <w:right w:val="single" w:color="auto" w:sz="4" w:space="0"/>
            </w:tcBorders>
            <w:vAlign w:val="center"/>
          </w:tcPr>
          <w:p w14:paraId="2DE00F3F">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B61组织管理情况</w:t>
            </w:r>
          </w:p>
        </w:tc>
        <w:tc>
          <w:tcPr>
            <w:tcW w:w="896" w:type="dxa"/>
            <w:tcBorders>
              <w:top w:val="single" w:color="auto" w:sz="4" w:space="0"/>
              <w:left w:val="nil"/>
              <w:bottom w:val="single" w:color="auto" w:sz="4" w:space="0"/>
              <w:right w:val="single" w:color="auto" w:sz="4" w:space="0"/>
            </w:tcBorders>
            <w:vAlign w:val="center"/>
          </w:tcPr>
          <w:p w14:paraId="4D664AEC">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992" w:type="dxa"/>
            <w:tcBorders>
              <w:top w:val="single" w:color="auto" w:sz="4" w:space="0"/>
              <w:left w:val="nil"/>
              <w:bottom w:val="single" w:color="auto" w:sz="4" w:space="0"/>
              <w:right w:val="single" w:color="auto" w:sz="4" w:space="0"/>
            </w:tcBorders>
            <w:vAlign w:val="center"/>
          </w:tcPr>
          <w:p w14:paraId="7C80F6E8">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良好</w:t>
            </w:r>
          </w:p>
        </w:tc>
        <w:tc>
          <w:tcPr>
            <w:tcW w:w="1843" w:type="dxa"/>
            <w:tcBorders>
              <w:top w:val="single" w:color="auto" w:sz="4" w:space="0"/>
              <w:left w:val="nil"/>
              <w:bottom w:val="single" w:color="auto" w:sz="4" w:space="0"/>
              <w:right w:val="single" w:color="auto" w:sz="4" w:space="0"/>
            </w:tcBorders>
            <w:vAlign w:val="center"/>
          </w:tcPr>
          <w:p w14:paraId="085677A7">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主要包含制度建设、职能配置等情况</w:t>
            </w:r>
          </w:p>
        </w:tc>
        <w:tc>
          <w:tcPr>
            <w:tcW w:w="2126" w:type="dxa"/>
            <w:tcBorders>
              <w:top w:val="single" w:color="auto" w:sz="4" w:space="0"/>
              <w:left w:val="nil"/>
              <w:bottom w:val="single" w:color="auto" w:sz="4" w:space="0"/>
              <w:right w:val="single" w:color="auto" w:sz="4" w:space="0"/>
            </w:tcBorders>
            <w:vAlign w:val="center"/>
          </w:tcPr>
          <w:p w14:paraId="7420BD98">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组织管理良好，有制度建设、职能配置得满分，否则符合一项得0.5分。</w:t>
            </w:r>
          </w:p>
        </w:tc>
        <w:tc>
          <w:tcPr>
            <w:tcW w:w="824" w:type="dxa"/>
            <w:tcBorders>
              <w:top w:val="single" w:color="auto" w:sz="4" w:space="0"/>
              <w:left w:val="nil"/>
              <w:bottom w:val="single" w:color="auto" w:sz="4" w:space="0"/>
              <w:right w:val="single" w:color="auto" w:sz="4" w:space="0"/>
            </w:tcBorders>
            <w:vAlign w:val="center"/>
          </w:tcPr>
          <w:p w14:paraId="162D1F03">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4185" w:type="dxa"/>
            <w:tcBorders>
              <w:top w:val="single" w:color="auto" w:sz="4" w:space="0"/>
              <w:left w:val="nil"/>
              <w:bottom w:val="single" w:color="auto" w:sz="4" w:space="0"/>
              <w:right w:val="single" w:color="auto" w:sz="4" w:space="0"/>
            </w:tcBorders>
            <w:vAlign w:val="center"/>
          </w:tcPr>
          <w:p w14:paraId="2B98FB5D">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部门组织管理良好，制度建设完善、职能配置合理，该项指标得满分。</w:t>
            </w:r>
          </w:p>
        </w:tc>
      </w:tr>
      <w:tr w14:paraId="5C611BF8">
        <w:tblPrEx>
          <w:tblCellMar>
            <w:top w:w="0" w:type="dxa"/>
            <w:left w:w="108" w:type="dxa"/>
            <w:bottom w:w="0" w:type="dxa"/>
            <w:right w:w="108" w:type="dxa"/>
          </w:tblCellMar>
        </w:tblPrEx>
        <w:trPr>
          <w:trHeight w:val="960" w:hRule="atLeast"/>
          <w:jc w:val="center"/>
        </w:trPr>
        <w:tc>
          <w:tcPr>
            <w:tcW w:w="1324" w:type="dxa"/>
            <w:vMerge w:val="continue"/>
            <w:tcBorders>
              <w:top w:val="single" w:color="auto" w:sz="4" w:space="0"/>
              <w:left w:val="single" w:color="auto" w:sz="4" w:space="0"/>
              <w:bottom w:val="single" w:color="auto" w:sz="4" w:space="0"/>
              <w:right w:val="single" w:color="auto" w:sz="4" w:space="0"/>
            </w:tcBorders>
            <w:vAlign w:val="center"/>
          </w:tcPr>
          <w:p w14:paraId="56459CD1">
            <w:pPr>
              <w:spacing w:line="360" w:lineRule="exact"/>
              <w:ind w:firstLine="0" w:firstLineChars="0"/>
              <w:jc w:val="left"/>
              <w:rPr>
                <w:rFonts w:ascii="Times New Roman" w:hAnsi="Times New Roman" w:eastAsia="宋体"/>
                <w:kern w:val="0"/>
                <w:sz w:val="24"/>
                <w:szCs w:val="24"/>
              </w:rPr>
            </w:pPr>
          </w:p>
        </w:tc>
        <w:tc>
          <w:tcPr>
            <w:tcW w:w="1187" w:type="dxa"/>
            <w:vMerge w:val="continue"/>
            <w:tcBorders>
              <w:top w:val="single" w:color="auto" w:sz="4" w:space="0"/>
              <w:left w:val="single" w:color="auto" w:sz="4" w:space="0"/>
              <w:bottom w:val="single" w:color="auto" w:sz="4" w:space="0"/>
              <w:right w:val="single" w:color="auto" w:sz="4" w:space="0"/>
            </w:tcBorders>
            <w:vAlign w:val="center"/>
          </w:tcPr>
          <w:p w14:paraId="08A6CA10">
            <w:pPr>
              <w:spacing w:line="320" w:lineRule="exact"/>
              <w:ind w:firstLine="0" w:firstLineChars="0"/>
              <w:jc w:val="left"/>
              <w:rPr>
                <w:rFonts w:ascii="Times New Roman" w:hAnsi="Times New Roman" w:eastAsia="宋体"/>
                <w:kern w:val="0"/>
                <w:sz w:val="24"/>
                <w:szCs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7529C98F">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B62工作开展情况</w:t>
            </w:r>
          </w:p>
        </w:tc>
        <w:tc>
          <w:tcPr>
            <w:tcW w:w="896" w:type="dxa"/>
            <w:tcBorders>
              <w:top w:val="single" w:color="auto" w:sz="4" w:space="0"/>
              <w:left w:val="nil"/>
              <w:bottom w:val="single" w:color="auto" w:sz="4" w:space="0"/>
              <w:right w:val="single" w:color="auto" w:sz="4" w:space="0"/>
            </w:tcBorders>
            <w:vAlign w:val="center"/>
          </w:tcPr>
          <w:p w14:paraId="3853019B">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992" w:type="dxa"/>
            <w:tcBorders>
              <w:top w:val="single" w:color="auto" w:sz="4" w:space="0"/>
              <w:left w:val="nil"/>
              <w:bottom w:val="single" w:color="auto" w:sz="4" w:space="0"/>
              <w:right w:val="single" w:color="auto" w:sz="4" w:space="0"/>
            </w:tcBorders>
            <w:vAlign w:val="center"/>
          </w:tcPr>
          <w:p w14:paraId="52C0D136">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良好</w:t>
            </w:r>
          </w:p>
        </w:tc>
        <w:tc>
          <w:tcPr>
            <w:tcW w:w="1843" w:type="dxa"/>
            <w:tcBorders>
              <w:top w:val="single" w:color="auto" w:sz="4" w:space="0"/>
              <w:left w:val="nil"/>
              <w:bottom w:val="single" w:color="auto" w:sz="4" w:space="0"/>
              <w:right w:val="single" w:color="auto" w:sz="4" w:space="0"/>
            </w:tcBorders>
            <w:vAlign w:val="center"/>
          </w:tcPr>
          <w:p w14:paraId="079EFADD">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包含事前评估、目标管理、跟踪评价、自评价和整改落实，考察政策（项目）是否有5个报告</w:t>
            </w:r>
          </w:p>
        </w:tc>
        <w:tc>
          <w:tcPr>
            <w:tcW w:w="2126" w:type="dxa"/>
            <w:tcBorders>
              <w:top w:val="single" w:color="auto" w:sz="4" w:space="0"/>
              <w:left w:val="nil"/>
              <w:bottom w:val="single" w:color="auto" w:sz="4" w:space="0"/>
              <w:right w:val="single" w:color="auto" w:sz="4" w:space="0"/>
            </w:tcBorders>
            <w:vAlign w:val="center"/>
          </w:tcPr>
          <w:p w14:paraId="5895ECBB">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项目有事前评估、目标管理、跟踪评价、自评价和整改落实得满分。有一项得0.4分。</w:t>
            </w:r>
          </w:p>
        </w:tc>
        <w:tc>
          <w:tcPr>
            <w:tcW w:w="824" w:type="dxa"/>
            <w:tcBorders>
              <w:top w:val="single" w:color="auto" w:sz="4" w:space="0"/>
              <w:left w:val="nil"/>
              <w:bottom w:val="single" w:color="auto" w:sz="4" w:space="0"/>
              <w:right w:val="single" w:color="auto" w:sz="4" w:space="0"/>
            </w:tcBorders>
            <w:vAlign w:val="center"/>
          </w:tcPr>
          <w:p w14:paraId="61EB10CA">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4185" w:type="dxa"/>
            <w:tcBorders>
              <w:top w:val="single" w:color="auto" w:sz="4" w:space="0"/>
              <w:left w:val="nil"/>
              <w:bottom w:val="single" w:color="auto" w:sz="4" w:space="0"/>
              <w:right w:val="single" w:color="auto" w:sz="4" w:space="0"/>
            </w:tcBorders>
            <w:vAlign w:val="center"/>
          </w:tcPr>
          <w:p w14:paraId="5B9507F3">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市妇联202</w:t>
            </w:r>
            <w:r>
              <w:rPr>
                <w:rFonts w:hint="eastAsia" w:ascii="Times New Roman" w:hAnsi="Times New Roman" w:eastAsia="宋体"/>
                <w:kern w:val="0"/>
                <w:sz w:val="24"/>
                <w:szCs w:val="24"/>
              </w:rPr>
              <w:t>5</w:t>
            </w:r>
            <w:r>
              <w:rPr>
                <w:rFonts w:ascii="Times New Roman" w:hAnsi="Times New Roman" w:eastAsia="宋体"/>
                <w:kern w:val="0"/>
                <w:sz w:val="24"/>
                <w:szCs w:val="24"/>
              </w:rPr>
              <w:t>年无新增专项资金项目，不涉及事前评估，目标管理、跟踪评价、自评价和整改落实等均按财政相关要求严格执行，无扣分情况，该项指标得满分。</w:t>
            </w:r>
          </w:p>
        </w:tc>
      </w:tr>
      <w:tr w14:paraId="7A07361E">
        <w:tblPrEx>
          <w:tblCellMar>
            <w:top w:w="0" w:type="dxa"/>
            <w:left w:w="108" w:type="dxa"/>
            <w:bottom w:w="0" w:type="dxa"/>
            <w:right w:w="108" w:type="dxa"/>
          </w:tblCellMar>
        </w:tblPrEx>
        <w:trPr>
          <w:trHeight w:val="720" w:hRule="atLeast"/>
          <w:jc w:val="center"/>
        </w:trPr>
        <w:tc>
          <w:tcPr>
            <w:tcW w:w="1324" w:type="dxa"/>
            <w:vMerge w:val="continue"/>
            <w:tcBorders>
              <w:top w:val="single" w:color="auto" w:sz="4" w:space="0"/>
              <w:left w:val="single" w:color="auto" w:sz="4" w:space="0"/>
              <w:bottom w:val="single" w:color="auto" w:sz="4" w:space="0"/>
              <w:right w:val="single" w:color="auto" w:sz="4" w:space="0"/>
            </w:tcBorders>
            <w:vAlign w:val="center"/>
          </w:tcPr>
          <w:p w14:paraId="16EDE955">
            <w:pPr>
              <w:spacing w:line="360" w:lineRule="exact"/>
              <w:ind w:firstLine="0" w:firstLineChars="0"/>
              <w:jc w:val="left"/>
              <w:rPr>
                <w:rFonts w:ascii="Times New Roman" w:hAnsi="Times New Roman" w:eastAsia="宋体"/>
                <w:kern w:val="0"/>
                <w:sz w:val="24"/>
                <w:szCs w:val="24"/>
              </w:rPr>
            </w:pPr>
          </w:p>
        </w:tc>
        <w:tc>
          <w:tcPr>
            <w:tcW w:w="1187" w:type="dxa"/>
            <w:vMerge w:val="continue"/>
            <w:tcBorders>
              <w:top w:val="single" w:color="auto" w:sz="4" w:space="0"/>
              <w:left w:val="single" w:color="auto" w:sz="4" w:space="0"/>
              <w:bottom w:val="single" w:color="auto" w:sz="4" w:space="0"/>
              <w:right w:val="single" w:color="auto" w:sz="4" w:space="0"/>
            </w:tcBorders>
            <w:vAlign w:val="center"/>
          </w:tcPr>
          <w:p w14:paraId="7A57D886">
            <w:pPr>
              <w:spacing w:line="320" w:lineRule="exact"/>
              <w:ind w:firstLine="0" w:firstLineChars="0"/>
              <w:jc w:val="left"/>
              <w:rPr>
                <w:rFonts w:ascii="Times New Roman" w:hAnsi="Times New Roman" w:eastAsia="宋体"/>
                <w:kern w:val="0"/>
                <w:sz w:val="24"/>
                <w:szCs w:val="24"/>
              </w:rPr>
            </w:pPr>
          </w:p>
        </w:tc>
        <w:tc>
          <w:tcPr>
            <w:tcW w:w="1440" w:type="dxa"/>
            <w:tcBorders>
              <w:top w:val="single" w:color="auto" w:sz="4" w:space="0"/>
              <w:left w:val="single" w:color="auto" w:sz="4" w:space="0"/>
              <w:bottom w:val="single" w:color="auto" w:sz="4" w:space="0"/>
              <w:right w:val="single" w:color="auto" w:sz="4" w:space="0"/>
            </w:tcBorders>
            <w:vAlign w:val="center"/>
          </w:tcPr>
          <w:p w14:paraId="7CE67E1E">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B63绩效信息公开</w:t>
            </w:r>
          </w:p>
        </w:tc>
        <w:tc>
          <w:tcPr>
            <w:tcW w:w="896" w:type="dxa"/>
            <w:tcBorders>
              <w:top w:val="single" w:color="auto" w:sz="4" w:space="0"/>
              <w:left w:val="nil"/>
              <w:bottom w:val="single" w:color="auto" w:sz="4" w:space="0"/>
              <w:right w:val="single" w:color="auto" w:sz="4" w:space="0"/>
            </w:tcBorders>
            <w:vAlign w:val="center"/>
          </w:tcPr>
          <w:p w14:paraId="7DE72DAD">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992" w:type="dxa"/>
            <w:tcBorders>
              <w:top w:val="single" w:color="auto" w:sz="4" w:space="0"/>
              <w:left w:val="nil"/>
              <w:bottom w:val="single" w:color="auto" w:sz="4" w:space="0"/>
              <w:right w:val="single" w:color="auto" w:sz="4" w:space="0"/>
            </w:tcBorders>
            <w:vAlign w:val="center"/>
          </w:tcPr>
          <w:p w14:paraId="4249FC2C">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公开</w:t>
            </w:r>
          </w:p>
        </w:tc>
        <w:tc>
          <w:tcPr>
            <w:tcW w:w="1843" w:type="dxa"/>
            <w:tcBorders>
              <w:top w:val="single" w:color="auto" w:sz="4" w:space="0"/>
              <w:left w:val="nil"/>
              <w:bottom w:val="single" w:color="auto" w:sz="4" w:space="0"/>
              <w:right w:val="single" w:color="auto" w:sz="4" w:space="0"/>
            </w:tcBorders>
            <w:vAlign w:val="center"/>
          </w:tcPr>
          <w:p w14:paraId="119E419D">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绩效信息是否按照规定的内容和时限在“双平台”进行公开</w:t>
            </w:r>
          </w:p>
        </w:tc>
        <w:tc>
          <w:tcPr>
            <w:tcW w:w="2126" w:type="dxa"/>
            <w:tcBorders>
              <w:top w:val="single" w:color="auto" w:sz="4" w:space="0"/>
              <w:left w:val="nil"/>
              <w:bottom w:val="single" w:color="auto" w:sz="4" w:space="0"/>
              <w:right w:val="single" w:color="auto" w:sz="4" w:space="0"/>
            </w:tcBorders>
            <w:vAlign w:val="center"/>
          </w:tcPr>
          <w:p w14:paraId="647208C8">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绩效信息在双平台进行及时有效的公开得满分，否则不得分。</w:t>
            </w:r>
          </w:p>
        </w:tc>
        <w:tc>
          <w:tcPr>
            <w:tcW w:w="824" w:type="dxa"/>
            <w:tcBorders>
              <w:top w:val="single" w:color="auto" w:sz="4" w:space="0"/>
              <w:left w:val="nil"/>
              <w:bottom w:val="single" w:color="auto" w:sz="4" w:space="0"/>
              <w:right w:val="single" w:color="auto" w:sz="4" w:space="0"/>
            </w:tcBorders>
            <w:vAlign w:val="center"/>
          </w:tcPr>
          <w:p w14:paraId="6A97CB3D">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4185" w:type="dxa"/>
            <w:tcBorders>
              <w:top w:val="single" w:color="auto" w:sz="4" w:space="0"/>
              <w:left w:val="nil"/>
              <w:bottom w:val="single" w:color="auto" w:sz="4" w:space="0"/>
              <w:right w:val="single" w:color="auto" w:sz="4" w:space="0"/>
            </w:tcBorders>
            <w:vAlign w:val="center"/>
          </w:tcPr>
          <w:p w14:paraId="51E8DB69">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绩效信息在双平台进行及时有效的公开。</w:t>
            </w:r>
          </w:p>
        </w:tc>
      </w:tr>
      <w:tr w14:paraId="734B5277">
        <w:tblPrEx>
          <w:tblCellMar>
            <w:top w:w="0" w:type="dxa"/>
            <w:left w:w="108" w:type="dxa"/>
            <w:bottom w:w="0" w:type="dxa"/>
            <w:right w:w="108" w:type="dxa"/>
          </w:tblCellMar>
        </w:tblPrEx>
        <w:trPr>
          <w:trHeight w:val="300" w:hRule="atLeast"/>
          <w:jc w:val="center"/>
        </w:trPr>
        <w:tc>
          <w:tcPr>
            <w:tcW w:w="13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523910">
            <w:pPr>
              <w:spacing w:line="36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C部门履职（30分）</w:t>
            </w:r>
          </w:p>
        </w:tc>
        <w:tc>
          <w:tcPr>
            <w:tcW w:w="11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9806EA">
            <w:pPr>
              <w:pStyle w:val="41"/>
              <w:spacing w:before="58" w:line="320" w:lineRule="exact"/>
              <w:ind w:firstLine="0" w:firstLineChars="0"/>
              <w:rPr>
                <w:rFonts w:ascii="Times New Roman" w:hAnsi="Times New Roman" w:cs="Times New Roman"/>
                <w:kern w:val="0"/>
                <w:sz w:val="24"/>
                <w:szCs w:val="24"/>
                <w:lang w:eastAsia="zh-CN"/>
              </w:rPr>
            </w:pPr>
            <w:r>
              <w:rPr>
                <w:rFonts w:ascii="Times New Roman" w:hAnsi="Times New Roman" w:cs="Times New Roman"/>
                <w:kern w:val="0"/>
                <w:sz w:val="24"/>
                <w:szCs w:val="24"/>
                <w:lang w:eastAsia="zh-CN"/>
              </w:rPr>
              <w:t>C1加强女性思想引领和宣传教育任务完成情况（6分）</w:t>
            </w: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DA060">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C11新媒体平台线上阅读量</w:t>
            </w:r>
          </w:p>
        </w:tc>
        <w:tc>
          <w:tcPr>
            <w:tcW w:w="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EA5FC9">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1.5</w:t>
            </w:r>
          </w:p>
        </w:tc>
        <w:tc>
          <w:tcPr>
            <w:tcW w:w="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E28E16">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≥20万</w:t>
            </w:r>
          </w:p>
        </w:tc>
        <w:tc>
          <w:tcPr>
            <w:tcW w:w="18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6FF0CC">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主要考核用好用活线上线下平台和阵地，做好正面宣传的情况</w:t>
            </w:r>
          </w:p>
          <w:p w14:paraId="4F20584B">
            <w:pPr>
              <w:spacing w:line="320" w:lineRule="exact"/>
              <w:ind w:firstLine="0" w:firstLineChars="0"/>
              <w:jc w:val="left"/>
              <w:rPr>
                <w:rFonts w:ascii="Times New Roman" w:hAnsi="Times New Roman" w:eastAsia="宋体"/>
                <w:kern w:val="0"/>
                <w:sz w:val="24"/>
                <w:szCs w:val="24"/>
              </w:rPr>
            </w:pPr>
          </w:p>
        </w:tc>
        <w:tc>
          <w:tcPr>
            <w:tcW w:w="2126" w:type="dxa"/>
            <w:tcBorders>
              <w:top w:val="single" w:color="000000" w:sz="4" w:space="0"/>
              <w:left w:val="single" w:color="000000" w:sz="4" w:space="0"/>
              <w:bottom w:val="single" w:color="000000" w:sz="4" w:space="0"/>
              <w:right w:val="single" w:color="000000" w:sz="4" w:space="0"/>
            </w:tcBorders>
            <w:vAlign w:val="center"/>
          </w:tcPr>
          <w:p w14:paraId="29D10FCB">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通过市妇联各新  媒体平台矩阵全  年阅读量 20 万以上得1.5 分</w:t>
            </w:r>
            <w:r>
              <w:rPr>
                <w:rFonts w:hint="eastAsia" w:ascii="Times New Roman" w:hAnsi="Times New Roman" w:eastAsia="宋体"/>
                <w:kern w:val="0"/>
                <w:sz w:val="24"/>
                <w:szCs w:val="24"/>
              </w:rPr>
              <w:t>。</w:t>
            </w:r>
          </w:p>
        </w:tc>
        <w:tc>
          <w:tcPr>
            <w:tcW w:w="824" w:type="dxa"/>
            <w:tcBorders>
              <w:top w:val="single" w:color="000000" w:sz="4" w:space="0"/>
              <w:left w:val="single" w:color="000000" w:sz="4" w:space="0"/>
              <w:bottom w:val="single" w:color="000000" w:sz="4" w:space="0"/>
              <w:right w:val="single" w:color="000000" w:sz="4" w:space="0"/>
            </w:tcBorders>
            <w:vAlign w:val="center"/>
          </w:tcPr>
          <w:p w14:paraId="6D7116A4">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1.5</w:t>
            </w:r>
          </w:p>
        </w:tc>
        <w:tc>
          <w:tcPr>
            <w:tcW w:w="4185" w:type="dxa"/>
            <w:tcBorders>
              <w:top w:val="single" w:color="000000" w:sz="4" w:space="0"/>
              <w:left w:val="single" w:color="000000" w:sz="4" w:space="0"/>
              <w:bottom w:val="single" w:color="000000" w:sz="4" w:space="0"/>
              <w:right w:val="single" w:color="000000" w:sz="4" w:space="0"/>
            </w:tcBorders>
            <w:vAlign w:val="center"/>
          </w:tcPr>
          <w:p w14:paraId="105AA8D4">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2025年，市妇联新媒体平台加大宣传力度，多篇推文被“江苏女性”“南京发布”“钟山评论”等公众号转发。全年各新媒体平台线上阅读量2</w:t>
            </w:r>
            <w:r>
              <w:rPr>
                <w:rFonts w:hint="eastAsia" w:ascii="Times New Roman" w:hAnsi="Times New Roman" w:eastAsia="宋体"/>
                <w:kern w:val="0"/>
                <w:sz w:val="24"/>
                <w:szCs w:val="24"/>
              </w:rPr>
              <w:t>4.53</w:t>
            </w:r>
            <w:r>
              <w:rPr>
                <w:rFonts w:ascii="Times New Roman" w:hAnsi="Times New Roman" w:eastAsia="宋体"/>
                <w:kern w:val="0"/>
                <w:sz w:val="24"/>
                <w:szCs w:val="24"/>
              </w:rPr>
              <w:t>万，微信阅读量超1000的达60余篇。</w:t>
            </w:r>
          </w:p>
        </w:tc>
      </w:tr>
      <w:tr w14:paraId="05426383">
        <w:tblPrEx>
          <w:tblCellMar>
            <w:top w:w="0" w:type="dxa"/>
            <w:left w:w="108" w:type="dxa"/>
            <w:bottom w:w="0" w:type="dxa"/>
            <w:right w:w="108" w:type="dxa"/>
          </w:tblCellMar>
        </w:tblPrEx>
        <w:trPr>
          <w:trHeight w:val="885" w:hRule="atLeast"/>
          <w:jc w:val="center"/>
        </w:trPr>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B30794">
            <w:pPr>
              <w:spacing w:line="360" w:lineRule="exact"/>
              <w:ind w:firstLine="0" w:firstLineChars="0"/>
              <w:jc w:val="left"/>
              <w:rPr>
                <w:rFonts w:ascii="Times New Roman" w:hAnsi="Times New Roman" w:eastAsia="宋体"/>
                <w:kern w:val="0"/>
                <w:sz w:val="24"/>
                <w:szCs w:val="24"/>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2ECDD5">
            <w:pPr>
              <w:spacing w:line="320" w:lineRule="exact"/>
              <w:ind w:firstLine="0" w:firstLineChars="0"/>
              <w:jc w:val="left"/>
              <w:rPr>
                <w:rFonts w:ascii="Times New Roman" w:hAnsi="Times New Roman" w:eastAsia="宋体"/>
                <w:kern w:val="0"/>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39E81">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C12网上妇儿之家用户数</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ACDE6">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1.5</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3C535">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≥53万</w:t>
            </w:r>
          </w:p>
        </w:tc>
        <w:tc>
          <w:tcPr>
            <w:tcW w:w="18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BFE4DA">
            <w:pPr>
              <w:spacing w:line="320" w:lineRule="exact"/>
              <w:ind w:firstLine="0" w:firstLineChars="0"/>
              <w:jc w:val="left"/>
              <w:rPr>
                <w:rFonts w:ascii="Times New Roman" w:hAnsi="Times New Roman" w:eastAsia="宋体"/>
                <w:kern w:val="0"/>
                <w:sz w:val="24"/>
                <w:szCs w:val="24"/>
              </w:rPr>
            </w:pPr>
          </w:p>
        </w:tc>
        <w:tc>
          <w:tcPr>
            <w:tcW w:w="2126" w:type="dxa"/>
            <w:tcBorders>
              <w:top w:val="single" w:color="000000" w:sz="4" w:space="0"/>
              <w:left w:val="single" w:color="000000" w:sz="4" w:space="0"/>
              <w:bottom w:val="single" w:color="000000" w:sz="4" w:space="0"/>
              <w:right w:val="single" w:color="000000" w:sz="4" w:space="0"/>
            </w:tcBorders>
            <w:vAlign w:val="center"/>
          </w:tcPr>
          <w:p w14:paraId="1339C3D5">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升级“网上妇儿之家”，整合服务功能，用户数超过53万得1.5分</w:t>
            </w:r>
            <w:r>
              <w:rPr>
                <w:rFonts w:hint="eastAsia" w:ascii="Times New Roman" w:hAnsi="Times New Roman" w:eastAsia="宋体"/>
                <w:kern w:val="0"/>
                <w:sz w:val="24"/>
                <w:szCs w:val="24"/>
              </w:rPr>
              <w:t>。</w:t>
            </w:r>
          </w:p>
        </w:tc>
        <w:tc>
          <w:tcPr>
            <w:tcW w:w="824" w:type="dxa"/>
            <w:tcBorders>
              <w:top w:val="single" w:color="000000" w:sz="4" w:space="0"/>
              <w:left w:val="single" w:color="000000" w:sz="4" w:space="0"/>
              <w:bottom w:val="single" w:color="000000" w:sz="4" w:space="0"/>
              <w:right w:val="single" w:color="000000" w:sz="4" w:space="0"/>
            </w:tcBorders>
            <w:vAlign w:val="center"/>
          </w:tcPr>
          <w:p w14:paraId="2A56C77F">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1.5</w:t>
            </w:r>
          </w:p>
        </w:tc>
        <w:tc>
          <w:tcPr>
            <w:tcW w:w="4185" w:type="dxa"/>
            <w:tcBorders>
              <w:top w:val="single" w:color="000000" w:sz="4" w:space="0"/>
              <w:left w:val="single" w:color="000000" w:sz="4" w:space="0"/>
              <w:bottom w:val="single" w:color="000000" w:sz="4" w:space="0"/>
              <w:right w:val="single" w:color="000000" w:sz="4" w:space="0"/>
            </w:tcBorders>
            <w:vAlign w:val="center"/>
          </w:tcPr>
          <w:p w14:paraId="09B9B9F2">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“网上妇儿之家”持续升级，整合法律咨询、家教指导、创业就业等多元服务功能，与“我的南京”官微联合线上系列宣传，用户数突破56万。</w:t>
            </w:r>
          </w:p>
        </w:tc>
      </w:tr>
      <w:tr w14:paraId="54AE5D62">
        <w:tblPrEx>
          <w:tblCellMar>
            <w:top w:w="0" w:type="dxa"/>
            <w:left w:w="108" w:type="dxa"/>
            <w:bottom w:w="0" w:type="dxa"/>
            <w:right w:w="108" w:type="dxa"/>
          </w:tblCellMar>
        </w:tblPrEx>
        <w:trPr>
          <w:trHeight w:val="684" w:hRule="atLeast"/>
          <w:jc w:val="center"/>
        </w:trPr>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D857F0">
            <w:pPr>
              <w:spacing w:line="360" w:lineRule="exact"/>
              <w:ind w:firstLine="0" w:firstLineChars="0"/>
              <w:jc w:val="left"/>
              <w:rPr>
                <w:rFonts w:ascii="Times New Roman" w:hAnsi="Times New Roman" w:eastAsia="宋体"/>
                <w:kern w:val="0"/>
                <w:sz w:val="24"/>
                <w:szCs w:val="24"/>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B1A0BA">
            <w:pPr>
              <w:spacing w:line="320" w:lineRule="exact"/>
              <w:ind w:firstLine="0" w:firstLineChars="0"/>
              <w:jc w:val="left"/>
              <w:rPr>
                <w:rFonts w:ascii="Times New Roman" w:hAnsi="Times New Roman" w:eastAsia="宋体"/>
                <w:kern w:val="0"/>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990C3">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C13宣传女性典型数量</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47A32">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1.5</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9C9B2">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≥50个</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17435">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主要考核开展“三八”等系列主题活动，发挥典型引领作用的情况</w:t>
            </w:r>
          </w:p>
        </w:tc>
        <w:tc>
          <w:tcPr>
            <w:tcW w:w="2126" w:type="dxa"/>
            <w:tcBorders>
              <w:top w:val="single" w:color="000000" w:sz="4" w:space="0"/>
              <w:left w:val="single" w:color="000000" w:sz="4" w:space="0"/>
              <w:bottom w:val="single" w:color="000000" w:sz="4" w:space="0"/>
              <w:right w:val="single" w:color="000000" w:sz="4" w:space="0"/>
            </w:tcBorders>
            <w:vAlign w:val="center"/>
          </w:tcPr>
          <w:p w14:paraId="090DD4F8">
            <w:pPr>
              <w:spacing w:line="320" w:lineRule="exact"/>
              <w:ind w:firstLine="0" w:firstLineChars="0"/>
              <w:jc w:val="left"/>
              <w:rPr>
                <w:rFonts w:ascii="Times New Roman" w:hAnsi="Times New Roman" w:eastAsia="宋体"/>
                <w:kern w:val="0"/>
                <w:sz w:val="24"/>
                <w:szCs w:val="24"/>
              </w:rPr>
            </w:pPr>
            <w:r>
              <w:rPr>
                <w:rFonts w:hint="eastAsia" w:ascii="Times New Roman" w:hAnsi="Times New Roman" w:eastAsia="宋体"/>
                <w:kern w:val="0"/>
                <w:sz w:val="24"/>
                <w:szCs w:val="24"/>
              </w:rPr>
              <w:t>1.</w:t>
            </w:r>
            <w:r>
              <w:rPr>
                <w:rFonts w:ascii="Times New Roman" w:hAnsi="Times New Roman" w:eastAsia="宋体"/>
                <w:kern w:val="0"/>
                <w:sz w:val="24"/>
                <w:szCs w:val="24"/>
              </w:rPr>
              <w:t>成功推荐全国三八红旗手、</w:t>
            </w:r>
          </w:p>
          <w:p w14:paraId="0E8A0E74">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全国三八红旗集体得0.5分。</w:t>
            </w:r>
          </w:p>
          <w:p w14:paraId="65CEC45C">
            <w:pPr>
              <w:spacing w:line="320" w:lineRule="exact"/>
              <w:ind w:firstLine="0" w:firstLineChars="0"/>
              <w:jc w:val="left"/>
              <w:rPr>
                <w:rFonts w:ascii="Times New Roman" w:hAnsi="Times New Roman" w:eastAsia="宋体"/>
                <w:kern w:val="0"/>
                <w:sz w:val="24"/>
                <w:szCs w:val="24"/>
              </w:rPr>
            </w:pPr>
            <w:r>
              <w:rPr>
                <w:rFonts w:hint="eastAsia" w:ascii="Times New Roman" w:hAnsi="Times New Roman" w:eastAsia="宋体"/>
                <w:kern w:val="0"/>
                <w:sz w:val="24"/>
                <w:szCs w:val="24"/>
              </w:rPr>
              <w:t>2.宣传女性典型不少于50个，</w:t>
            </w:r>
          </w:p>
          <w:p w14:paraId="5CA74DDA">
            <w:pPr>
              <w:spacing w:line="320" w:lineRule="exact"/>
              <w:ind w:firstLine="0" w:firstLineChars="0"/>
              <w:jc w:val="left"/>
              <w:rPr>
                <w:rFonts w:ascii="Times New Roman" w:hAnsi="Times New Roman" w:eastAsia="宋体"/>
                <w:kern w:val="0"/>
                <w:sz w:val="24"/>
                <w:szCs w:val="24"/>
              </w:rPr>
            </w:pPr>
            <w:r>
              <w:rPr>
                <w:rFonts w:hint="eastAsia" w:ascii="Times New Roman" w:hAnsi="Times New Roman" w:eastAsia="宋体"/>
                <w:kern w:val="0"/>
                <w:sz w:val="24"/>
                <w:szCs w:val="24"/>
              </w:rPr>
              <w:t>发挥典型引领作</w:t>
            </w:r>
          </w:p>
          <w:p w14:paraId="71858713">
            <w:pPr>
              <w:spacing w:line="320" w:lineRule="exact"/>
              <w:ind w:firstLine="0" w:firstLineChars="0"/>
              <w:jc w:val="left"/>
              <w:rPr>
                <w:rFonts w:ascii="Times New Roman" w:hAnsi="Times New Roman" w:eastAsia="宋体"/>
                <w:kern w:val="0"/>
                <w:sz w:val="24"/>
                <w:szCs w:val="24"/>
              </w:rPr>
            </w:pPr>
            <w:r>
              <w:rPr>
                <w:rFonts w:hint="eastAsia" w:ascii="Times New Roman" w:hAnsi="Times New Roman" w:eastAsia="宋体"/>
                <w:kern w:val="0"/>
                <w:sz w:val="24"/>
                <w:szCs w:val="24"/>
              </w:rPr>
              <w:t>用得1分。</w:t>
            </w:r>
          </w:p>
          <w:p w14:paraId="005712FF">
            <w:pPr>
              <w:spacing w:line="320" w:lineRule="exact"/>
              <w:ind w:firstLine="0" w:firstLineChars="0"/>
              <w:jc w:val="left"/>
              <w:rPr>
                <w:rFonts w:ascii="Times New Roman" w:hAnsi="Times New Roman" w:eastAsia="宋体"/>
                <w:kern w:val="0"/>
                <w:sz w:val="24"/>
                <w:szCs w:val="24"/>
              </w:rPr>
            </w:pPr>
          </w:p>
        </w:tc>
        <w:tc>
          <w:tcPr>
            <w:tcW w:w="824" w:type="dxa"/>
            <w:tcBorders>
              <w:top w:val="single" w:color="000000" w:sz="4" w:space="0"/>
              <w:left w:val="single" w:color="000000" w:sz="4" w:space="0"/>
              <w:bottom w:val="single" w:color="000000" w:sz="4" w:space="0"/>
              <w:right w:val="single" w:color="000000" w:sz="4" w:space="0"/>
            </w:tcBorders>
            <w:vAlign w:val="center"/>
          </w:tcPr>
          <w:p w14:paraId="6FCF32C1">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1.5</w:t>
            </w:r>
          </w:p>
        </w:tc>
        <w:tc>
          <w:tcPr>
            <w:tcW w:w="4185" w:type="dxa"/>
            <w:tcBorders>
              <w:top w:val="single" w:color="000000" w:sz="4" w:space="0"/>
              <w:left w:val="single" w:color="000000" w:sz="4" w:space="0"/>
              <w:bottom w:val="single" w:color="000000" w:sz="4" w:space="0"/>
              <w:right w:val="single" w:color="000000" w:sz="4" w:space="0"/>
            </w:tcBorders>
            <w:vAlign w:val="center"/>
          </w:tcPr>
          <w:p w14:paraId="0FD5FB93">
            <w:pPr>
              <w:spacing w:line="320" w:lineRule="exact"/>
              <w:ind w:firstLine="0" w:firstLineChars="0"/>
              <w:jc w:val="left"/>
              <w:rPr>
                <w:rFonts w:ascii="Times New Roman" w:hAnsi="Times New Roman" w:eastAsia="宋体"/>
                <w:kern w:val="0"/>
                <w:sz w:val="24"/>
                <w:szCs w:val="24"/>
              </w:rPr>
            </w:pPr>
            <w:r>
              <w:rPr>
                <w:rFonts w:hint="eastAsia" w:ascii="Times New Roman" w:hAnsi="Times New Roman" w:eastAsia="宋体"/>
                <w:kern w:val="0"/>
                <w:sz w:val="24"/>
                <w:szCs w:val="24"/>
              </w:rPr>
              <w:t>1.</w:t>
            </w:r>
            <w:r>
              <w:rPr>
                <w:rFonts w:ascii="Times New Roman" w:hAnsi="Times New Roman" w:eastAsia="宋体"/>
                <w:kern w:val="0"/>
                <w:sz w:val="24"/>
                <w:szCs w:val="24"/>
              </w:rPr>
              <w:t>2025年，通过对女性典型的推荐与宣传，充分激发典型示范引领作用。成功推荐获评全国三八红旗手2名、全国三八红旗集体1个。</w:t>
            </w:r>
          </w:p>
          <w:p w14:paraId="5B82C404">
            <w:pPr>
              <w:spacing w:line="320" w:lineRule="exact"/>
              <w:ind w:firstLine="0" w:firstLineChars="0"/>
              <w:jc w:val="left"/>
              <w:rPr>
                <w:rFonts w:ascii="Times New Roman" w:hAnsi="Times New Roman" w:eastAsia="宋体"/>
                <w:kern w:val="0"/>
                <w:sz w:val="24"/>
                <w:szCs w:val="24"/>
              </w:rPr>
            </w:pPr>
            <w:r>
              <w:rPr>
                <w:rFonts w:hint="eastAsia" w:ascii="Times New Roman" w:hAnsi="Times New Roman" w:eastAsia="宋体"/>
                <w:kern w:val="0"/>
                <w:sz w:val="24"/>
                <w:szCs w:val="24"/>
              </w:rPr>
              <w:t>2.全年通过妇联新媒体平台“最美宁姐”等专栏宣传各类女性典型共计52人，包括人大代表、政协委员、巾帼好网民、最美家庭女主人、家政从业者、宁姐月嫂等。</w:t>
            </w:r>
          </w:p>
        </w:tc>
      </w:tr>
      <w:tr w14:paraId="7E5E2C2A">
        <w:tblPrEx>
          <w:tblCellMar>
            <w:top w:w="0" w:type="dxa"/>
            <w:left w:w="108" w:type="dxa"/>
            <w:bottom w:w="0" w:type="dxa"/>
            <w:right w:w="108" w:type="dxa"/>
          </w:tblCellMar>
        </w:tblPrEx>
        <w:trPr>
          <w:trHeight w:val="2474" w:hRule="atLeast"/>
          <w:jc w:val="center"/>
        </w:trPr>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4B8F2B">
            <w:pPr>
              <w:spacing w:line="360" w:lineRule="exact"/>
              <w:ind w:firstLine="0" w:firstLineChars="0"/>
              <w:jc w:val="left"/>
              <w:rPr>
                <w:rFonts w:ascii="Times New Roman" w:hAnsi="Times New Roman" w:eastAsia="宋体"/>
                <w:kern w:val="0"/>
                <w:sz w:val="24"/>
                <w:szCs w:val="24"/>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F357A1">
            <w:pPr>
              <w:spacing w:line="320" w:lineRule="exact"/>
              <w:ind w:firstLine="0" w:firstLineChars="0"/>
              <w:jc w:val="left"/>
              <w:rPr>
                <w:rFonts w:ascii="Times New Roman" w:hAnsi="Times New Roman" w:eastAsia="宋体"/>
                <w:kern w:val="0"/>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FB054">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C14开展女性品牌特色宣传次数</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81EF4">
            <w:pPr>
              <w:spacing w:line="320" w:lineRule="exact"/>
              <w:ind w:firstLine="248" w:firstLineChars="100"/>
              <w:jc w:val="center"/>
              <w:rPr>
                <w:rFonts w:ascii="Times New Roman" w:hAnsi="Times New Roman" w:eastAsia="宋体"/>
                <w:kern w:val="0"/>
                <w:sz w:val="24"/>
                <w:szCs w:val="24"/>
              </w:rPr>
            </w:pPr>
            <w:r>
              <w:rPr>
                <w:rFonts w:ascii="Times New Roman" w:hAnsi="Times New Roman" w:eastAsia="宋体"/>
                <w:kern w:val="0"/>
                <w:sz w:val="24"/>
                <w:szCs w:val="24"/>
              </w:rPr>
              <w:t>1.5</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F80BF">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w:t>
            </w:r>
            <w:r>
              <w:rPr>
                <w:rFonts w:hint="eastAsia" w:ascii="Times New Roman" w:hAnsi="Times New Roman" w:eastAsia="宋体"/>
                <w:kern w:val="0"/>
                <w:sz w:val="24"/>
                <w:szCs w:val="24"/>
                <w:lang w:val="en-US" w:eastAsia="zh-CN"/>
              </w:rPr>
              <w:t>30</w:t>
            </w:r>
            <w:r>
              <w:rPr>
                <w:rFonts w:ascii="Times New Roman" w:hAnsi="Times New Roman" w:eastAsia="宋体"/>
                <w:kern w:val="0"/>
                <w:sz w:val="24"/>
                <w:szCs w:val="24"/>
              </w:rPr>
              <w:t>次</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8EAE5">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主要考核利用  妇联“成贤街 43 号”等特色品牌，做好妇女思想宣传工作的情况</w:t>
            </w:r>
          </w:p>
        </w:tc>
        <w:tc>
          <w:tcPr>
            <w:tcW w:w="2126" w:type="dxa"/>
            <w:tcBorders>
              <w:top w:val="single" w:color="000000" w:sz="4" w:space="0"/>
              <w:left w:val="single" w:color="000000" w:sz="4" w:space="0"/>
              <w:bottom w:val="single" w:color="000000" w:sz="4" w:space="0"/>
              <w:right w:val="single" w:color="000000" w:sz="4" w:space="0"/>
            </w:tcBorders>
            <w:vAlign w:val="center"/>
          </w:tcPr>
          <w:p w14:paraId="360067D3">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用好各类品牌栏</w:t>
            </w:r>
          </w:p>
          <w:p w14:paraId="75CFDCE2">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 xml:space="preserve">目，全年宣传次数 </w:t>
            </w:r>
          </w:p>
          <w:p w14:paraId="2A968CA5">
            <w:pPr>
              <w:spacing w:line="320" w:lineRule="exact"/>
              <w:ind w:firstLine="0" w:firstLineChars="0"/>
              <w:rPr>
                <w:rFonts w:ascii="Times New Roman" w:hAnsi="Times New Roman" w:eastAsia="宋体"/>
                <w:kern w:val="0"/>
                <w:sz w:val="24"/>
                <w:szCs w:val="24"/>
              </w:rPr>
            </w:pPr>
            <w:r>
              <w:rPr>
                <w:rFonts w:hint="eastAsia" w:ascii="Times New Roman" w:hAnsi="Times New Roman" w:eastAsia="宋体"/>
                <w:kern w:val="0"/>
                <w:sz w:val="24"/>
                <w:szCs w:val="24"/>
                <w:lang w:val="en-US" w:eastAsia="zh-CN"/>
              </w:rPr>
              <w:t>30</w:t>
            </w:r>
            <w:r>
              <w:rPr>
                <w:rFonts w:ascii="Times New Roman" w:hAnsi="Times New Roman" w:eastAsia="宋体"/>
                <w:kern w:val="0"/>
                <w:sz w:val="24"/>
                <w:szCs w:val="24"/>
              </w:rPr>
              <w:t>次以上得1.5分</w:t>
            </w:r>
            <w:r>
              <w:rPr>
                <w:rFonts w:hint="eastAsia" w:ascii="Times New Roman" w:hAnsi="Times New Roman" w:eastAsia="宋体"/>
                <w:kern w:val="0"/>
                <w:sz w:val="24"/>
                <w:szCs w:val="24"/>
              </w:rPr>
              <w:t>。</w:t>
            </w:r>
          </w:p>
        </w:tc>
        <w:tc>
          <w:tcPr>
            <w:tcW w:w="824" w:type="dxa"/>
            <w:tcBorders>
              <w:top w:val="single" w:color="000000" w:sz="4" w:space="0"/>
              <w:left w:val="single" w:color="000000" w:sz="4" w:space="0"/>
              <w:bottom w:val="single" w:color="000000" w:sz="4" w:space="0"/>
              <w:right w:val="single" w:color="000000" w:sz="4" w:space="0"/>
            </w:tcBorders>
            <w:vAlign w:val="center"/>
          </w:tcPr>
          <w:p w14:paraId="23A83487">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1.5</w:t>
            </w:r>
          </w:p>
        </w:tc>
        <w:tc>
          <w:tcPr>
            <w:tcW w:w="4185" w:type="dxa"/>
            <w:tcBorders>
              <w:top w:val="single" w:color="000000" w:sz="4" w:space="0"/>
              <w:left w:val="single" w:color="000000" w:sz="4" w:space="0"/>
              <w:bottom w:val="single" w:color="000000" w:sz="4" w:space="0"/>
              <w:right w:val="single" w:color="000000" w:sz="4" w:space="0"/>
            </w:tcBorders>
            <w:vAlign w:val="center"/>
          </w:tcPr>
          <w:p w14:paraId="3A84CBCE">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2025年，市妇联《成贤街43号》全年制作推出10期系列短视频，讲述巾帼故事、妇联工作，其中观看量最高一期超1.1万人次；“最美宁姐”栏目全年推出26期，其中，采写的南京云锦非遗新传承人吴颖一文登上“南京发布”。</w:t>
            </w:r>
          </w:p>
        </w:tc>
      </w:tr>
      <w:tr w14:paraId="4DDB3451">
        <w:tblPrEx>
          <w:tblCellMar>
            <w:top w:w="0" w:type="dxa"/>
            <w:left w:w="108" w:type="dxa"/>
            <w:bottom w:w="0" w:type="dxa"/>
            <w:right w:w="108" w:type="dxa"/>
          </w:tblCellMar>
        </w:tblPrEx>
        <w:trPr>
          <w:trHeight w:val="600" w:hRule="atLeast"/>
          <w:jc w:val="center"/>
        </w:trPr>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6E5925">
            <w:pPr>
              <w:spacing w:line="360" w:lineRule="exact"/>
              <w:ind w:firstLine="0" w:firstLineChars="0"/>
              <w:jc w:val="left"/>
              <w:rPr>
                <w:rFonts w:ascii="Times New Roman" w:hAnsi="Times New Roman" w:eastAsia="宋体"/>
                <w:kern w:val="0"/>
                <w:sz w:val="24"/>
                <w:szCs w:val="24"/>
              </w:rPr>
            </w:pPr>
          </w:p>
        </w:tc>
        <w:tc>
          <w:tcPr>
            <w:tcW w:w="11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E58127">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C2助推城乡妇女发展任务完成情况（6分）</w:t>
            </w: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750B2">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C21“双学双比”“巾帼建功”扶持项目</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AF74D">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FF3E0">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≥20个</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61E38">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主要考核持续推进科技创新巾帼行动，深化巾帼建功工作开展情况</w:t>
            </w:r>
          </w:p>
        </w:tc>
        <w:tc>
          <w:tcPr>
            <w:tcW w:w="2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34F54">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通过线上线下渠道，实施“双学双比”“巾帼建功”扶持项目不少于20</w:t>
            </w:r>
            <w:r>
              <w:rPr>
                <w:rFonts w:hint="eastAsia" w:ascii="Times New Roman" w:hAnsi="Times New Roman" w:eastAsia="宋体"/>
                <w:kern w:val="0"/>
                <w:sz w:val="24"/>
                <w:szCs w:val="24"/>
              </w:rPr>
              <w:t>个</w:t>
            </w:r>
            <w:r>
              <w:rPr>
                <w:rFonts w:ascii="Times New Roman" w:hAnsi="Times New Roman" w:eastAsia="宋体"/>
                <w:kern w:val="0"/>
                <w:sz w:val="24"/>
                <w:szCs w:val="24"/>
              </w:rPr>
              <w:t>得2分。</w:t>
            </w:r>
            <w:r>
              <w:rPr>
                <w:rFonts w:hint="eastAsia" w:ascii="Times New Roman" w:hAnsi="Times New Roman" w:eastAsia="宋体"/>
                <w:kern w:val="0"/>
                <w:sz w:val="24"/>
                <w:szCs w:val="24"/>
              </w:rPr>
              <w:t>少1个扣0.5分，少4个以上不得分。</w:t>
            </w: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1F636">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4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1A77A">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开展宁姐丰收市集，开设“她选优品”专区，实施“双学双比”“巾帼建功”扶持项目共30个。</w:t>
            </w:r>
          </w:p>
        </w:tc>
      </w:tr>
      <w:tr w14:paraId="1C0D7B2F">
        <w:tblPrEx>
          <w:tblCellMar>
            <w:top w:w="0" w:type="dxa"/>
            <w:left w:w="108" w:type="dxa"/>
            <w:bottom w:w="0" w:type="dxa"/>
            <w:right w:w="108" w:type="dxa"/>
          </w:tblCellMar>
        </w:tblPrEx>
        <w:trPr>
          <w:trHeight w:val="600" w:hRule="atLeast"/>
          <w:jc w:val="center"/>
        </w:trPr>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39553F">
            <w:pPr>
              <w:spacing w:line="360" w:lineRule="exact"/>
              <w:ind w:firstLine="0" w:firstLineChars="0"/>
              <w:jc w:val="left"/>
              <w:rPr>
                <w:rFonts w:ascii="Times New Roman" w:hAnsi="Times New Roman" w:eastAsia="宋体"/>
                <w:kern w:val="0"/>
                <w:sz w:val="24"/>
                <w:szCs w:val="24"/>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088315">
            <w:pPr>
              <w:spacing w:line="320" w:lineRule="exact"/>
              <w:ind w:firstLine="0" w:firstLineChars="0"/>
              <w:jc w:val="left"/>
              <w:rPr>
                <w:rFonts w:ascii="Times New Roman" w:hAnsi="Times New Roman" w:eastAsia="宋体"/>
                <w:kern w:val="0"/>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B1F5C">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C22开展创新实践项目个数</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56D10">
            <w:pPr>
              <w:spacing w:line="320" w:lineRule="exact"/>
              <w:ind w:firstLine="248" w:firstLineChars="100"/>
              <w:rPr>
                <w:rFonts w:ascii="Times New Roman" w:hAnsi="Times New Roman" w:eastAsia="宋体"/>
                <w:kern w:val="0"/>
                <w:sz w:val="24"/>
                <w:szCs w:val="24"/>
              </w:rPr>
            </w:pPr>
            <w:r>
              <w:rPr>
                <w:rFonts w:ascii="Times New Roman" w:hAnsi="Times New Roman" w:eastAsia="宋体"/>
                <w:kern w:val="0"/>
                <w:sz w:val="24"/>
                <w:szCs w:val="24"/>
              </w:rPr>
              <w:t>2</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6C565">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≥18个</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CA240">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主要考核实施园区高校女性创新实践项目，推进妇女就业创业情况</w:t>
            </w:r>
          </w:p>
        </w:tc>
        <w:tc>
          <w:tcPr>
            <w:tcW w:w="2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13F2D">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实施全市高新区、高校女性创业创新实践项目不少于18个，促进园区女性、高校女性和女大学生创业就业服务。得2分。</w:t>
            </w: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A2349">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4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1EB27">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在高新园区、市属高校实施女性创业创新实践项目20个，为园区女性和高校女大学生提供创业就业服务。</w:t>
            </w:r>
          </w:p>
        </w:tc>
      </w:tr>
      <w:tr w14:paraId="74E0E195">
        <w:tblPrEx>
          <w:tblCellMar>
            <w:top w:w="0" w:type="dxa"/>
            <w:left w:w="108" w:type="dxa"/>
            <w:bottom w:w="0" w:type="dxa"/>
            <w:right w:w="108" w:type="dxa"/>
          </w:tblCellMar>
        </w:tblPrEx>
        <w:trPr>
          <w:trHeight w:val="600" w:hRule="atLeast"/>
          <w:jc w:val="center"/>
        </w:trPr>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952D85">
            <w:pPr>
              <w:spacing w:line="360" w:lineRule="exact"/>
              <w:ind w:firstLine="0" w:firstLineChars="0"/>
              <w:jc w:val="left"/>
              <w:rPr>
                <w:rFonts w:ascii="Times New Roman" w:hAnsi="Times New Roman" w:eastAsia="宋体"/>
                <w:kern w:val="0"/>
                <w:sz w:val="24"/>
                <w:szCs w:val="24"/>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880DED">
            <w:pPr>
              <w:spacing w:line="320" w:lineRule="exact"/>
              <w:ind w:firstLine="0" w:firstLineChars="0"/>
              <w:jc w:val="left"/>
              <w:rPr>
                <w:rFonts w:ascii="Times New Roman" w:hAnsi="Times New Roman" w:eastAsia="宋体"/>
                <w:kern w:val="0"/>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574DD">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C23 宁姐月嫂培训人次</w:t>
            </w:r>
          </w:p>
        </w:tc>
        <w:tc>
          <w:tcPr>
            <w:tcW w:w="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2140E">
            <w:pPr>
              <w:spacing w:line="320" w:lineRule="exact"/>
              <w:ind w:firstLine="248" w:firstLineChars="100"/>
              <w:jc w:val="left"/>
              <w:rPr>
                <w:rFonts w:ascii="Times New Roman" w:hAnsi="Times New Roman" w:eastAsia="宋体"/>
                <w:kern w:val="0"/>
                <w:sz w:val="24"/>
                <w:szCs w:val="24"/>
              </w:rPr>
            </w:pPr>
            <w:r>
              <w:rPr>
                <w:rFonts w:ascii="Times New Roman" w:hAnsi="Times New Roman" w:eastAsia="宋体"/>
                <w:kern w:val="0"/>
                <w:sz w:val="24"/>
                <w:szCs w:val="24"/>
              </w:rPr>
              <w:t>2</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F3179">
            <w:pPr>
              <w:spacing w:line="320" w:lineRule="exact"/>
              <w:ind w:firstLine="0" w:firstLineChars="0"/>
              <w:rPr>
                <w:rFonts w:ascii="Times New Roman" w:hAnsi="Times New Roman" w:eastAsia="宋体"/>
                <w:sz w:val="18"/>
                <w:szCs w:val="18"/>
              </w:rPr>
            </w:pPr>
            <w:r>
              <w:rPr>
                <w:rFonts w:ascii="Times New Roman" w:hAnsi="Times New Roman" w:eastAsia="宋体"/>
                <w:kern w:val="0"/>
                <w:sz w:val="24"/>
                <w:szCs w:val="24"/>
              </w:rPr>
              <w:t>≥500人次</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32B6A">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主要考核开展“宁姐月嫂”等技能培训、完善“宁姐月嫂”服务体系的工作开展情况</w:t>
            </w:r>
          </w:p>
        </w:tc>
        <w:tc>
          <w:tcPr>
            <w:tcW w:w="2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A0A8F">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完善“宁姐月嫂”家政服务体系，开展“宁姐月嫂”培训，全年不少于500人。得2分。</w:t>
            </w: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D6C3C">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4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D6A5D">
            <w:pPr>
              <w:spacing w:line="30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完善“宁姐月嫂”家政服务体系，联合市人社局、市卫健委等扎实开展“宁姐月嫂”技能培训，全年共培训616人次，帮助农村妇女提素增能。</w:t>
            </w:r>
          </w:p>
        </w:tc>
      </w:tr>
      <w:tr w14:paraId="24DA45A8">
        <w:tblPrEx>
          <w:tblCellMar>
            <w:top w:w="0" w:type="dxa"/>
            <w:left w:w="108" w:type="dxa"/>
            <w:bottom w:w="0" w:type="dxa"/>
            <w:right w:w="108" w:type="dxa"/>
          </w:tblCellMar>
        </w:tblPrEx>
        <w:trPr>
          <w:trHeight w:val="115" w:hRule="atLeast"/>
          <w:jc w:val="center"/>
        </w:trPr>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CED643">
            <w:pPr>
              <w:spacing w:line="360" w:lineRule="exact"/>
              <w:ind w:firstLine="0" w:firstLineChars="0"/>
              <w:jc w:val="left"/>
              <w:rPr>
                <w:rFonts w:ascii="Times New Roman" w:hAnsi="Times New Roman" w:eastAsia="宋体"/>
                <w:kern w:val="0"/>
                <w:sz w:val="24"/>
                <w:szCs w:val="24"/>
              </w:rPr>
            </w:pPr>
          </w:p>
        </w:tc>
        <w:tc>
          <w:tcPr>
            <w:tcW w:w="11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4240DA">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C3维护妇女儿童权益任务完成情况</w:t>
            </w:r>
          </w:p>
          <w:p w14:paraId="6C31EE5B">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w:t>
            </w:r>
            <w:r>
              <w:rPr>
                <w:rFonts w:hint="eastAsia" w:ascii="Times New Roman" w:hAnsi="Times New Roman" w:eastAsia="宋体"/>
                <w:kern w:val="0"/>
                <w:sz w:val="24"/>
                <w:szCs w:val="24"/>
              </w:rPr>
              <w:t>6</w:t>
            </w:r>
            <w:r>
              <w:rPr>
                <w:rFonts w:ascii="Times New Roman" w:hAnsi="Times New Roman" w:eastAsia="宋体"/>
                <w:kern w:val="0"/>
                <w:sz w:val="24"/>
                <w:szCs w:val="24"/>
              </w:rPr>
              <w:t>分）</w:t>
            </w: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49F21">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C31全年参与法规政策性别平等评估部数</w:t>
            </w:r>
          </w:p>
        </w:tc>
        <w:tc>
          <w:tcPr>
            <w:tcW w:w="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2A9312">
            <w:pPr>
              <w:spacing w:line="320" w:lineRule="exact"/>
              <w:ind w:firstLine="0" w:firstLineChars="0"/>
              <w:jc w:val="center"/>
              <w:rPr>
                <w:rFonts w:ascii="Times New Roman" w:hAnsi="Times New Roman" w:eastAsia="宋体"/>
                <w:kern w:val="0"/>
                <w:sz w:val="24"/>
                <w:szCs w:val="24"/>
              </w:rPr>
            </w:pPr>
            <w:r>
              <w:rPr>
                <w:rFonts w:hint="eastAsia" w:ascii="Times New Roman" w:hAnsi="Times New Roman" w:eastAsia="宋体"/>
                <w:kern w:val="0"/>
                <w:sz w:val="24"/>
                <w:szCs w:val="24"/>
              </w:rPr>
              <w:t>1</w:t>
            </w:r>
          </w:p>
        </w:tc>
        <w:tc>
          <w:tcPr>
            <w:tcW w:w="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17AE9D">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≥10部</w:t>
            </w:r>
          </w:p>
        </w:tc>
        <w:tc>
          <w:tcPr>
            <w:tcW w:w="1843" w:type="dxa"/>
            <w:tcBorders>
              <w:top w:val="single" w:color="000000" w:sz="4" w:space="0"/>
              <w:left w:val="single" w:color="000000" w:sz="4" w:space="0"/>
              <w:bottom w:val="single" w:color="000000" w:sz="4" w:space="0"/>
              <w:right w:val="single" w:color="000000" w:sz="4" w:space="0"/>
            </w:tcBorders>
            <w:shd w:val="clear" w:color="auto" w:fill="FFFFFF"/>
          </w:tcPr>
          <w:p w14:paraId="233D1149">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主要考核推动 并参与完善涉及妇女民生的法律法规和政策文件的制定情况</w:t>
            </w:r>
          </w:p>
        </w:tc>
        <w:tc>
          <w:tcPr>
            <w:tcW w:w="2126" w:type="dxa"/>
            <w:tcBorders>
              <w:top w:val="single" w:color="000000" w:sz="4" w:space="0"/>
              <w:left w:val="single" w:color="000000" w:sz="4" w:space="0"/>
              <w:bottom w:val="single" w:color="000000" w:sz="4" w:space="0"/>
              <w:right w:val="single" w:color="000000" w:sz="4" w:space="0"/>
            </w:tcBorders>
            <w:shd w:val="clear" w:color="auto" w:fill="FFFFFF"/>
          </w:tcPr>
          <w:p w14:paraId="35211B93">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开展法规政策性别平等评估工作，参与涉及妇女权益的法律、法规、规章和其他规范性文件的制定、修订，全年达10个，得1分。</w:t>
            </w: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995CC">
            <w:pPr>
              <w:spacing w:line="320" w:lineRule="exact"/>
              <w:ind w:firstLine="0" w:firstLineChars="0"/>
              <w:jc w:val="center"/>
              <w:rPr>
                <w:rFonts w:ascii="Times New Roman" w:hAnsi="Times New Roman" w:eastAsia="宋体"/>
                <w:kern w:val="0"/>
                <w:sz w:val="24"/>
                <w:szCs w:val="24"/>
              </w:rPr>
            </w:pPr>
            <w:r>
              <w:rPr>
                <w:rFonts w:hint="eastAsia" w:ascii="Times New Roman" w:hAnsi="Times New Roman" w:eastAsia="宋体"/>
                <w:kern w:val="0"/>
                <w:sz w:val="24"/>
                <w:szCs w:val="24"/>
              </w:rPr>
              <w:t>1</w:t>
            </w:r>
          </w:p>
        </w:tc>
        <w:tc>
          <w:tcPr>
            <w:tcW w:w="4185" w:type="dxa"/>
            <w:tcBorders>
              <w:top w:val="single" w:color="000000" w:sz="4" w:space="0"/>
              <w:left w:val="single" w:color="000000" w:sz="4" w:space="0"/>
              <w:bottom w:val="single" w:color="000000" w:sz="4" w:space="0"/>
              <w:right w:val="single" w:color="000000" w:sz="4" w:space="0"/>
            </w:tcBorders>
            <w:shd w:val="clear" w:color="auto" w:fill="FFFFFF"/>
          </w:tcPr>
          <w:p w14:paraId="5DA2CE58">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组织相关专家和妇女群众参与涉及妇女权益的法规政策性别平等评估，全年共对10部法规政策文件进行评估。</w:t>
            </w:r>
          </w:p>
          <w:p w14:paraId="5BAB3917">
            <w:pPr>
              <w:spacing w:line="320" w:lineRule="exact"/>
              <w:ind w:firstLine="0" w:firstLineChars="0"/>
              <w:jc w:val="left"/>
              <w:rPr>
                <w:rFonts w:ascii="Times New Roman" w:hAnsi="Times New Roman" w:eastAsia="宋体"/>
                <w:kern w:val="0"/>
                <w:sz w:val="24"/>
                <w:szCs w:val="24"/>
              </w:rPr>
            </w:pPr>
          </w:p>
        </w:tc>
      </w:tr>
      <w:tr w14:paraId="3900BB4A">
        <w:tblPrEx>
          <w:tblCellMar>
            <w:top w:w="0" w:type="dxa"/>
            <w:left w:w="108" w:type="dxa"/>
            <w:bottom w:w="0" w:type="dxa"/>
            <w:right w:w="108" w:type="dxa"/>
          </w:tblCellMar>
        </w:tblPrEx>
        <w:trPr>
          <w:trHeight w:val="215" w:hRule="atLeast"/>
          <w:jc w:val="center"/>
        </w:trPr>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5CBA40">
            <w:pPr>
              <w:spacing w:line="360" w:lineRule="exact"/>
              <w:ind w:firstLine="0" w:firstLineChars="0"/>
              <w:jc w:val="left"/>
              <w:rPr>
                <w:rFonts w:ascii="Times New Roman" w:hAnsi="Times New Roman" w:eastAsia="宋体"/>
                <w:kern w:val="0"/>
                <w:sz w:val="24"/>
                <w:szCs w:val="24"/>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60C299">
            <w:pPr>
              <w:spacing w:line="320" w:lineRule="exact"/>
              <w:ind w:firstLine="0" w:firstLineChars="0"/>
              <w:jc w:val="left"/>
              <w:rPr>
                <w:rFonts w:ascii="Times New Roman" w:hAnsi="Times New Roman" w:eastAsia="宋体"/>
                <w:kern w:val="0"/>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F1D16">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C32多元化维权工作机制建设进一步健全</w:t>
            </w:r>
          </w:p>
        </w:tc>
        <w:tc>
          <w:tcPr>
            <w:tcW w:w="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220AAF">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38E38B">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健全</w:t>
            </w:r>
          </w:p>
        </w:tc>
        <w:tc>
          <w:tcPr>
            <w:tcW w:w="1843" w:type="dxa"/>
            <w:tcBorders>
              <w:top w:val="single" w:color="000000" w:sz="4" w:space="0"/>
              <w:left w:val="single" w:color="000000" w:sz="4" w:space="0"/>
              <w:bottom w:val="single" w:color="000000" w:sz="4" w:space="0"/>
              <w:right w:val="single" w:color="000000" w:sz="4" w:space="0"/>
            </w:tcBorders>
            <w:shd w:val="clear" w:color="auto" w:fill="FFFFFF"/>
          </w:tcPr>
          <w:p w14:paraId="3B9CF47F">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主要考核参与基层治理，完善多机构协作、多元参与工作机制建设的情况</w:t>
            </w:r>
          </w:p>
        </w:tc>
        <w:tc>
          <w:tcPr>
            <w:tcW w:w="2126" w:type="dxa"/>
            <w:tcBorders>
              <w:top w:val="single" w:color="000000" w:sz="4" w:space="0"/>
              <w:left w:val="single" w:color="000000" w:sz="4" w:space="0"/>
              <w:bottom w:val="single" w:color="000000" w:sz="4" w:space="0"/>
              <w:right w:val="single" w:color="000000" w:sz="4" w:space="0"/>
            </w:tcBorders>
            <w:shd w:val="clear" w:color="auto" w:fill="FFFFFF"/>
          </w:tcPr>
          <w:p w14:paraId="3D510538">
            <w:pPr>
              <w:numPr>
                <w:ilvl w:val="0"/>
                <w:numId w:val="1"/>
              </w:num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联合相关部门共同推进基层维权服务阵地建设，促进婚姻家庭纠纷多元化解，得0.5分；</w:t>
            </w:r>
          </w:p>
          <w:p w14:paraId="1F46326B">
            <w:pPr>
              <w:numPr>
                <w:ilvl w:val="0"/>
                <w:numId w:val="1"/>
              </w:num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联合多部门开展依法维护妇女权益案例征集，得0.5分。</w:t>
            </w:r>
          </w:p>
          <w:p w14:paraId="52E9C398">
            <w:pPr>
              <w:spacing w:line="320" w:lineRule="exact"/>
              <w:ind w:firstLine="0" w:firstLineChars="0"/>
              <w:jc w:val="left"/>
              <w:rPr>
                <w:rFonts w:ascii="Times New Roman" w:hAnsi="Times New Roman" w:eastAsia="宋体"/>
                <w:kern w:val="0"/>
                <w:sz w:val="24"/>
                <w:szCs w:val="24"/>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20385">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4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D4213">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1.联合司法局举办婚姻家庭纠纷调解专题培训班，提升家事调解员业务能力；联合民政局开展婚姻家庭辅导室服务能力提升活动，加强婚姻辅导人才队伍专业化建设。</w:t>
            </w:r>
          </w:p>
          <w:p w14:paraId="59CB7DB0">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2.向社会发布依法维护妇女权益案例，涵盖女职工劳动保护、妇女人身权益、离婚后女方生存保障等领域，为依法维护妇女合法权益提供法律指引。</w:t>
            </w:r>
          </w:p>
        </w:tc>
      </w:tr>
      <w:tr w14:paraId="6801C985">
        <w:tblPrEx>
          <w:tblCellMar>
            <w:top w:w="0" w:type="dxa"/>
            <w:left w:w="108" w:type="dxa"/>
            <w:bottom w:w="0" w:type="dxa"/>
            <w:right w:w="108" w:type="dxa"/>
          </w:tblCellMar>
        </w:tblPrEx>
        <w:trPr>
          <w:trHeight w:val="215" w:hRule="atLeast"/>
          <w:jc w:val="center"/>
        </w:trPr>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5ABB83">
            <w:pPr>
              <w:spacing w:line="360" w:lineRule="exact"/>
              <w:ind w:firstLine="0" w:firstLineChars="0"/>
              <w:jc w:val="left"/>
              <w:rPr>
                <w:rFonts w:ascii="Times New Roman" w:hAnsi="Times New Roman" w:eastAsia="宋体"/>
                <w:kern w:val="0"/>
                <w:sz w:val="24"/>
                <w:szCs w:val="24"/>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A6C775">
            <w:pPr>
              <w:spacing w:line="320" w:lineRule="exact"/>
              <w:ind w:firstLine="0" w:firstLineChars="0"/>
              <w:jc w:val="left"/>
              <w:rPr>
                <w:rFonts w:ascii="Times New Roman" w:hAnsi="Times New Roman" w:eastAsia="宋体"/>
                <w:kern w:val="0"/>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BF279">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C33全年提供公益服务人次</w:t>
            </w:r>
          </w:p>
        </w:tc>
        <w:tc>
          <w:tcPr>
            <w:tcW w:w="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79BBBC">
            <w:pPr>
              <w:spacing w:line="320" w:lineRule="exact"/>
              <w:ind w:firstLine="0" w:firstLineChars="0"/>
              <w:jc w:val="center"/>
              <w:rPr>
                <w:rFonts w:ascii="Times New Roman" w:hAnsi="Times New Roman" w:eastAsia="宋体"/>
                <w:kern w:val="0"/>
                <w:sz w:val="24"/>
                <w:szCs w:val="24"/>
              </w:rPr>
            </w:pPr>
            <w:r>
              <w:rPr>
                <w:rFonts w:hint="eastAsia" w:ascii="Times New Roman" w:hAnsi="Times New Roman" w:eastAsia="宋体"/>
                <w:kern w:val="0"/>
                <w:sz w:val="24"/>
                <w:szCs w:val="24"/>
              </w:rPr>
              <w:t>1</w:t>
            </w:r>
          </w:p>
        </w:tc>
        <w:tc>
          <w:tcPr>
            <w:tcW w:w="992" w:type="dxa"/>
            <w:tcBorders>
              <w:top w:val="single" w:color="000000" w:sz="4" w:space="0"/>
              <w:left w:val="single" w:color="000000" w:sz="4" w:space="0"/>
              <w:bottom w:val="single" w:color="000000" w:sz="4" w:space="0"/>
              <w:right w:val="single" w:color="auto" w:sz="4" w:space="0"/>
            </w:tcBorders>
            <w:shd w:val="clear" w:color="auto" w:fill="FFFFFF"/>
            <w:noWrap/>
            <w:vAlign w:val="center"/>
          </w:tcPr>
          <w:p w14:paraId="386FAC1E">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≥1500人次</w:t>
            </w:r>
          </w:p>
        </w:tc>
        <w:tc>
          <w:tcPr>
            <w:tcW w:w="1843" w:type="dxa"/>
            <w:vMerge w:val="restart"/>
            <w:tcBorders>
              <w:top w:val="single" w:color="000000" w:sz="4" w:space="0"/>
              <w:left w:val="single" w:color="auto" w:sz="4" w:space="0"/>
              <w:bottom w:val="single" w:color="auto" w:sz="4" w:space="0"/>
              <w:right w:val="single" w:color="000000" w:sz="4" w:space="0"/>
            </w:tcBorders>
            <w:shd w:val="clear" w:color="auto" w:fill="FFFFFF"/>
          </w:tcPr>
          <w:p w14:paraId="00159F81">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主要考核精准维权关爱，为特殊困难和权益受到侵害的妇女儿童提供公益服务的情况</w:t>
            </w:r>
          </w:p>
        </w:tc>
        <w:tc>
          <w:tcPr>
            <w:tcW w:w="2126" w:type="dxa"/>
            <w:tcBorders>
              <w:top w:val="single" w:color="000000" w:sz="4" w:space="0"/>
              <w:left w:val="single" w:color="000000" w:sz="4" w:space="0"/>
              <w:bottom w:val="single" w:color="auto" w:sz="4" w:space="0"/>
              <w:right w:val="single" w:color="000000" w:sz="4" w:space="0"/>
            </w:tcBorders>
            <w:shd w:val="clear" w:color="auto" w:fill="FFFFFF"/>
          </w:tcPr>
          <w:p w14:paraId="6786FF06">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线上线下开展妇女维权公益服务不少于1500人次，得</w:t>
            </w:r>
            <w:r>
              <w:rPr>
                <w:rFonts w:hint="eastAsia" w:ascii="Times New Roman" w:hAnsi="Times New Roman" w:eastAsia="宋体"/>
                <w:kern w:val="0"/>
                <w:sz w:val="24"/>
                <w:szCs w:val="24"/>
              </w:rPr>
              <w:t>1</w:t>
            </w:r>
            <w:r>
              <w:rPr>
                <w:rFonts w:ascii="Times New Roman" w:hAnsi="Times New Roman" w:eastAsia="宋体"/>
                <w:kern w:val="0"/>
                <w:sz w:val="24"/>
                <w:szCs w:val="24"/>
              </w:rPr>
              <w:t>分。</w:t>
            </w:r>
          </w:p>
        </w:tc>
        <w:tc>
          <w:tcPr>
            <w:tcW w:w="824" w:type="dxa"/>
            <w:tcBorders>
              <w:top w:val="single" w:color="000000" w:sz="4" w:space="0"/>
              <w:left w:val="single" w:color="000000" w:sz="4" w:space="0"/>
              <w:bottom w:val="single" w:color="auto" w:sz="4" w:space="0"/>
              <w:right w:val="single" w:color="000000" w:sz="4" w:space="0"/>
            </w:tcBorders>
            <w:shd w:val="clear" w:color="auto" w:fill="FFFFFF"/>
            <w:vAlign w:val="center"/>
          </w:tcPr>
          <w:p w14:paraId="7399A1FA">
            <w:pPr>
              <w:spacing w:line="320" w:lineRule="exact"/>
              <w:ind w:firstLine="0" w:firstLineChars="0"/>
              <w:jc w:val="center"/>
              <w:rPr>
                <w:rFonts w:ascii="Times New Roman" w:hAnsi="Times New Roman" w:eastAsia="宋体"/>
                <w:kern w:val="0"/>
                <w:sz w:val="24"/>
                <w:szCs w:val="24"/>
              </w:rPr>
            </w:pPr>
            <w:r>
              <w:rPr>
                <w:rFonts w:hint="eastAsia" w:ascii="Times New Roman" w:hAnsi="Times New Roman" w:eastAsia="宋体"/>
                <w:kern w:val="0"/>
                <w:sz w:val="24"/>
                <w:szCs w:val="24"/>
              </w:rPr>
              <w:t>1</w:t>
            </w:r>
          </w:p>
        </w:tc>
        <w:tc>
          <w:tcPr>
            <w:tcW w:w="4185" w:type="dxa"/>
            <w:tcBorders>
              <w:top w:val="single" w:color="000000" w:sz="4" w:space="0"/>
              <w:left w:val="single" w:color="000000" w:sz="4" w:space="0"/>
              <w:bottom w:val="single" w:color="auto" w:sz="4" w:space="0"/>
              <w:right w:val="single" w:color="000000" w:sz="4" w:space="0"/>
            </w:tcBorders>
            <w:shd w:val="clear" w:color="auto" w:fill="FFFFFF"/>
            <w:vAlign w:val="center"/>
          </w:tcPr>
          <w:p w14:paraId="2EF6997D">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市妇女维权服务中心（热线）线上线下接待群众求助，全年共为妇女群众提供法律咨询、心理咨询等公益服务1719人次，维护妇女儿童合法权益。</w:t>
            </w:r>
          </w:p>
        </w:tc>
      </w:tr>
      <w:tr w14:paraId="08914244">
        <w:tblPrEx>
          <w:tblCellMar>
            <w:top w:w="0" w:type="dxa"/>
            <w:left w:w="108" w:type="dxa"/>
            <w:bottom w:w="0" w:type="dxa"/>
            <w:right w:w="108" w:type="dxa"/>
          </w:tblCellMar>
        </w:tblPrEx>
        <w:trPr>
          <w:trHeight w:val="488" w:hRule="atLeast"/>
          <w:jc w:val="center"/>
        </w:trPr>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5DD430">
            <w:pPr>
              <w:spacing w:line="360" w:lineRule="exact"/>
              <w:ind w:firstLine="0" w:firstLineChars="0"/>
              <w:jc w:val="left"/>
              <w:rPr>
                <w:rFonts w:ascii="Times New Roman" w:hAnsi="Times New Roman" w:eastAsia="宋体"/>
                <w:kern w:val="0"/>
                <w:sz w:val="24"/>
                <w:szCs w:val="24"/>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060981">
            <w:pPr>
              <w:spacing w:line="320" w:lineRule="exact"/>
              <w:ind w:firstLine="0" w:firstLineChars="0"/>
              <w:jc w:val="left"/>
              <w:rPr>
                <w:rFonts w:ascii="Times New Roman" w:hAnsi="Times New Roman" w:eastAsia="宋体"/>
                <w:kern w:val="0"/>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3B49F">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C34全年提供个案跟进服务人次</w:t>
            </w:r>
          </w:p>
        </w:tc>
        <w:tc>
          <w:tcPr>
            <w:tcW w:w="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20095">
            <w:pPr>
              <w:spacing w:line="320" w:lineRule="exact"/>
              <w:ind w:firstLine="0" w:firstLineChars="0"/>
              <w:jc w:val="center"/>
              <w:rPr>
                <w:rFonts w:ascii="Times New Roman" w:hAnsi="Times New Roman"/>
              </w:rPr>
            </w:pPr>
            <w:r>
              <w:rPr>
                <w:rFonts w:ascii="Times New Roman" w:hAnsi="Times New Roman" w:eastAsia="宋体"/>
                <w:kern w:val="0"/>
                <w:sz w:val="24"/>
                <w:szCs w:val="24"/>
              </w:rPr>
              <w:t>1</w:t>
            </w:r>
          </w:p>
        </w:tc>
        <w:tc>
          <w:tcPr>
            <w:tcW w:w="992" w:type="dxa"/>
            <w:tcBorders>
              <w:top w:val="single" w:color="000000" w:sz="4" w:space="0"/>
              <w:left w:val="single" w:color="000000" w:sz="4" w:space="0"/>
              <w:bottom w:val="single" w:color="000000" w:sz="4" w:space="0"/>
              <w:right w:val="single" w:color="auto" w:sz="4" w:space="0"/>
            </w:tcBorders>
            <w:shd w:val="clear" w:color="auto" w:fill="FFFFFF"/>
            <w:noWrap/>
            <w:vAlign w:val="center"/>
          </w:tcPr>
          <w:p w14:paraId="0627335B">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≥20人次</w:t>
            </w:r>
          </w:p>
        </w:tc>
        <w:tc>
          <w:tcPr>
            <w:tcW w:w="1843" w:type="dxa"/>
            <w:vMerge w:val="continue"/>
            <w:tcBorders>
              <w:top w:val="single" w:color="auto" w:sz="4" w:space="0"/>
              <w:left w:val="single" w:color="auto" w:sz="4" w:space="0"/>
              <w:bottom w:val="single" w:color="000000" w:sz="4" w:space="0"/>
              <w:right w:val="single" w:color="000000" w:sz="4" w:space="0"/>
            </w:tcBorders>
            <w:shd w:val="clear" w:color="auto" w:fill="FFFFFF"/>
          </w:tcPr>
          <w:p w14:paraId="5433ABF7">
            <w:pPr>
              <w:spacing w:line="320" w:lineRule="exact"/>
              <w:ind w:firstLine="0" w:firstLineChars="0"/>
              <w:jc w:val="left"/>
              <w:rPr>
                <w:rFonts w:ascii="Times New Roman" w:hAnsi="Times New Roman" w:eastAsia="宋体"/>
                <w:kern w:val="0"/>
                <w:sz w:val="24"/>
                <w:szCs w:val="24"/>
              </w:rPr>
            </w:pPr>
          </w:p>
        </w:tc>
        <w:tc>
          <w:tcPr>
            <w:tcW w:w="2126" w:type="dxa"/>
            <w:tcBorders>
              <w:top w:val="single" w:color="auto" w:sz="4" w:space="0"/>
              <w:left w:val="single" w:color="000000" w:sz="4" w:space="0"/>
              <w:bottom w:val="single" w:color="000000" w:sz="4" w:space="0"/>
              <w:right w:val="single" w:color="000000" w:sz="4" w:space="0"/>
            </w:tcBorders>
            <w:shd w:val="clear" w:color="auto" w:fill="FFFFFF"/>
          </w:tcPr>
          <w:p w14:paraId="5E8D6E08">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全年提供个案跟进服务人次不少于20人次，得</w:t>
            </w:r>
            <w:r>
              <w:rPr>
                <w:rFonts w:hint="eastAsia" w:ascii="Times New Roman" w:hAnsi="Times New Roman" w:eastAsia="宋体"/>
                <w:kern w:val="0"/>
                <w:sz w:val="24"/>
                <w:szCs w:val="24"/>
              </w:rPr>
              <w:t>1</w:t>
            </w:r>
            <w:r>
              <w:rPr>
                <w:rFonts w:ascii="Times New Roman" w:hAnsi="Times New Roman" w:eastAsia="宋体"/>
                <w:kern w:val="0"/>
                <w:sz w:val="24"/>
                <w:szCs w:val="24"/>
              </w:rPr>
              <w:t>分。</w:t>
            </w:r>
          </w:p>
        </w:tc>
        <w:tc>
          <w:tcPr>
            <w:tcW w:w="824" w:type="dxa"/>
            <w:tcBorders>
              <w:top w:val="single" w:color="auto" w:sz="4" w:space="0"/>
              <w:left w:val="single" w:color="000000" w:sz="4" w:space="0"/>
              <w:bottom w:val="single" w:color="000000" w:sz="4" w:space="0"/>
              <w:right w:val="single" w:color="000000" w:sz="4" w:space="0"/>
            </w:tcBorders>
            <w:shd w:val="clear" w:color="auto" w:fill="FFFFFF"/>
            <w:vAlign w:val="center"/>
          </w:tcPr>
          <w:p w14:paraId="7511CF12">
            <w:pPr>
              <w:spacing w:line="320" w:lineRule="exact"/>
              <w:ind w:firstLine="0" w:firstLineChars="0"/>
              <w:jc w:val="center"/>
              <w:rPr>
                <w:rFonts w:ascii="Times New Roman" w:hAnsi="Times New Roman" w:eastAsia="宋体"/>
                <w:kern w:val="0"/>
                <w:sz w:val="24"/>
                <w:szCs w:val="24"/>
              </w:rPr>
            </w:pPr>
            <w:r>
              <w:rPr>
                <w:rFonts w:hint="eastAsia" w:ascii="Times New Roman" w:hAnsi="Times New Roman" w:eastAsia="宋体"/>
                <w:kern w:val="0"/>
                <w:sz w:val="24"/>
                <w:szCs w:val="24"/>
              </w:rPr>
              <w:t>1</w:t>
            </w:r>
          </w:p>
        </w:tc>
        <w:tc>
          <w:tcPr>
            <w:tcW w:w="4185" w:type="dxa"/>
            <w:tcBorders>
              <w:top w:val="single" w:color="auto" w:sz="4" w:space="0"/>
              <w:left w:val="single" w:color="000000" w:sz="4" w:space="0"/>
              <w:bottom w:val="single" w:color="000000" w:sz="4" w:space="0"/>
              <w:right w:val="single" w:color="auto" w:sz="4" w:space="0"/>
            </w:tcBorders>
            <w:shd w:val="clear" w:color="auto" w:fill="FFFFFF"/>
            <w:vAlign w:val="center"/>
          </w:tcPr>
          <w:p w14:paraId="3E53371A">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在市妇女维权服务中心接访、家暴警情联动服务项目回访中，为有需要的妇女群众提供代写法律文书、诉讼代理、心理疏导等个案援助20例。</w:t>
            </w:r>
          </w:p>
        </w:tc>
      </w:tr>
      <w:tr w14:paraId="480D1452">
        <w:tblPrEx>
          <w:tblCellMar>
            <w:top w:w="0" w:type="dxa"/>
            <w:left w:w="108" w:type="dxa"/>
            <w:bottom w:w="0" w:type="dxa"/>
            <w:right w:w="108" w:type="dxa"/>
          </w:tblCellMar>
        </w:tblPrEx>
        <w:trPr>
          <w:trHeight w:val="530" w:hRule="atLeast"/>
          <w:jc w:val="center"/>
        </w:trPr>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ACD930">
            <w:pPr>
              <w:spacing w:line="320" w:lineRule="exact"/>
              <w:ind w:firstLine="0" w:firstLineChars="0"/>
              <w:jc w:val="left"/>
              <w:rPr>
                <w:rFonts w:ascii="Times New Roman" w:hAnsi="Times New Roman"/>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A0483A">
            <w:pPr>
              <w:spacing w:line="320" w:lineRule="exact"/>
              <w:ind w:firstLine="0" w:firstLineChars="0"/>
              <w:jc w:val="left"/>
              <w:rPr>
                <w:rFonts w:ascii="Times New Roman" w:hAnsi="Times New Roman"/>
              </w:rPr>
            </w:pP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32057">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C35儿童友好街区建成数</w:t>
            </w:r>
          </w:p>
        </w:tc>
        <w:tc>
          <w:tcPr>
            <w:tcW w:w="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EA2DB0">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992" w:type="dxa"/>
            <w:tcBorders>
              <w:top w:val="single" w:color="000000" w:sz="4" w:space="0"/>
              <w:left w:val="single" w:color="000000" w:sz="4" w:space="0"/>
              <w:bottom w:val="single" w:color="000000" w:sz="4" w:space="0"/>
              <w:right w:val="single" w:color="auto" w:sz="4" w:space="0"/>
            </w:tcBorders>
            <w:shd w:val="clear" w:color="auto" w:fill="FFFFFF"/>
            <w:noWrap/>
            <w:vAlign w:val="center"/>
          </w:tcPr>
          <w:p w14:paraId="2A8C1F87">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≥8个</w:t>
            </w:r>
          </w:p>
        </w:tc>
        <w:tc>
          <w:tcPr>
            <w:tcW w:w="1843" w:type="dxa"/>
            <w:vMerge w:val="restart"/>
            <w:tcBorders>
              <w:top w:val="single" w:color="000000" w:sz="4" w:space="0"/>
              <w:left w:val="single" w:color="auto" w:sz="4" w:space="0"/>
              <w:bottom w:val="single" w:color="auto" w:sz="4" w:space="0"/>
              <w:right w:val="single" w:color="000000" w:sz="4" w:space="0"/>
            </w:tcBorders>
            <w:shd w:val="clear" w:color="auto" w:fill="FFFFFF"/>
          </w:tcPr>
          <w:p w14:paraId="5ACC46DE">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主要考核指导儿童友好社区联盟和街区建设，拓展小小民生观察员实践活动的情况</w:t>
            </w:r>
            <w:r>
              <w:rPr>
                <w:rFonts w:ascii="Times New Roman" w:hAnsi="Times New Roman" w:eastAsia="宋体"/>
                <w:kern w:val="0"/>
                <w:sz w:val="24"/>
                <w:szCs w:val="24"/>
              </w:rPr>
              <w:tab/>
            </w:r>
          </w:p>
        </w:tc>
        <w:tc>
          <w:tcPr>
            <w:tcW w:w="2126" w:type="dxa"/>
            <w:tcBorders>
              <w:top w:val="single" w:color="000000" w:sz="4" w:space="0"/>
              <w:left w:val="single" w:color="000000" w:sz="4" w:space="0"/>
              <w:bottom w:val="single" w:color="auto" w:sz="4" w:space="0"/>
              <w:right w:val="single" w:color="000000" w:sz="4" w:space="0"/>
            </w:tcBorders>
            <w:shd w:val="clear" w:color="auto" w:fill="FFFFFF"/>
            <w:vAlign w:val="center"/>
          </w:tcPr>
          <w:p w14:paraId="3E2B4573">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建成儿童友好街区数≥8个，得1分</w:t>
            </w:r>
            <w:r>
              <w:rPr>
                <w:rFonts w:hint="eastAsia" w:ascii="Times New Roman" w:hAnsi="Times New Roman" w:eastAsia="宋体"/>
                <w:kern w:val="0"/>
                <w:sz w:val="24"/>
                <w:szCs w:val="24"/>
              </w:rPr>
              <w:t>。少1个扣0.5分，少2个以上不得分</w:t>
            </w:r>
            <w:r>
              <w:rPr>
                <w:rFonts w:ascii="Times New Roman" w:hAnsi="Times New Roman" w:eastAsia="宋体"/>
                <w:kern w:val="0"/>
                <w:sz w:val="24"/>
                <w:szCs w:val="24"/>
              </w:rPr>
              <w:t>。</w:t>
            </w:r>
          </w:p>
        </w:tc>
        <w:tc>
          <w:tcPr>
            <w:tcW w:w="824" w:type="dxa"/>
            <w:tcBorders>
              <w:top w:val="single" w:color="000000" w:sz="4" w:space="0"/>
              <w:left w:val="single" w:color="000000" w:sz="4" w:space="0"/>
              <w:bottom w:val="single" w:color="auto" w:sz="4" w:space="0"/>
              <w:right w:val="single" w:color="000000" w:sz="4" w:space="0"/>
            </w:tcBorders>
            <w:shd w:val="clear" w:color="auto" w:fill="FFFFFF"/>
            <w:vAlign w:val="center"/>
          </w:tcPr>
          <w:p w14:paraId="1DAE676A">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4185" w:type="dxa"/>
            <w:tcBorders>
              <w:top w:val="single" w:color="000000" w:sz="4" w:space="0"/>
              <w:left w:val="single" w:color="000000" w:sz="4" w:space="0"/>
              <w:bottom w:val="single" w:color="auto" w:sz="4" w:space="0"/>
              <w:right w:val="single" w:color="auto" w:sz="4" w:space="0"/>
            </w:tcBorders>
            <w:shd w:val="clear" w:color="auto" w:fill="FFFFFF"/>
          </w:tcPr>
          <w:p w14:paraId="3B36B3A0">
            <w:pPr>
              <w:tabs>
                <w:tab w:val="left" w:pos="427"/>
              </w:tabs>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扎实推进民生实事项目，建成10个儿童友好街区，其中，桥北商圈弘阳欢乐街区创新“商业空间+儿童友好”融合模式，竹蜻蜓儿童友好街区打造特色通学路径场景，分别入选国家部委《城市儿童友好空间建设可复制经验清单》第二批、第一批，相关经验在全国范围内推广。</w:t>
            </w:r>
          </w:p>
        </w:tc>
      </w:tr>
      <w:tr w14:paraId="4DC21F10">
        <w:tblPrEx>
          <w:tblCellMar>
            <w:top w:w="0" w:type="dxa"/>
            <w:left w:w="108" w:type="dxa"/>
            <w:bottom w:w="0" w:type="dxa"/>
            <w:right w:w="108" w:type="dxa"/>
          </w:tblCellMar>
        </w:tblPrEx>
        <w:trPr>
          <w:trHeight w:val="970" w:hRule="atLeast"/>
          <w:jc w:val="center"/>
        </w:trPr>
        <w:tc>
          <w:tcPr>
            <w:tcW w:w="1324" w:type="dxa"/>
            <w:vMerge w:val="continue"/>
            <w:tcBorders>
              <w:left w:val="single" w:color="000000" w:sz="4" w:space="0"/>
              <w:bottom w:val="single" w:color="000000" w:sz="4" w:space="0"/>
              <w:right w:val="single" w:color="000000" w:sz="4" w:space="0"/>
            </w:tcBorders>
            <w:shd w:val="clear" w:color="auto" w:fill="FFFFFF"/>
            <w:vAlign w:val="center"/>
          </w:tcPr>
          <w:p w14:paraId="351E3B0B">
            <w:pPr>
              <w:spacing w:line="320" w:lineRule="exact"/>
              <w:ind w:firstLine="0" w:firstLineChars="0"/>
              <w:jc w:val="left"/>
              <w:rPr>
                <w:rFonts w:ascii="Times New Roman" w:hAnsi="Times New Roman" w:eastAsia="宋体"/>
                <w:kern w:val="0"/>
                <w:sz w:val="24"/>
                <w:szCs w:val="24"/>
              </w:rPr>
            </w:pPr>
          </w:p>
        </w:tc>
        <w:tc>
          <w:tcPr>
            <w:tcW w:w="1187" w:type="dxa"/>
            <w:vMerge w:val="continue"/>
            <w:tcBorders>
              <w:left w:val="single" w:color="000000" w:sz="4" w:space="0"/>
              <w:bottom w:val="single" w:color="000000" w:sz="4" w:space="0"/>
              <w:right w:val="single" w:color="000000" w:sz="4" w:space="0"/>
            </w:tcBorders>
            <w:shd w:val="clear" w:color="auto" w:fill="FFFFFF"/>
            <w:vAlign w:val="center"/>
          </w:tcPr>
          <w:p w14:paraId="1C03C08B">
            <w:pPr>
              <w:spacing w:line="320" w:lineRule="exact"/>
              <w:ind w:firstLine="0" w:firstLineChars="0"/>
              <w:jc w:val="left"/>
              <w:rPr>
                <w:rFonts w:ascii="Times New Roman" w:hAnsi="Times New Roman" w:eastAsia="宋体"/>
                <w:kern w:val="0"/>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FBADC">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C36培育小小民生观察员数量</w:t>
            </w:r>
          </w:p>
        </w:tc>
        <w:tc>
          <w:tcPr>
            <w:tcW w:w="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866E0">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992" w:type="dxa"/>
            <w:tcBorders>
              <w:top w:val="single" w:color="000000" w:sz="4" w:space="0"/>
              <w:left w:val="single" w:color="000000" w:sz="4" w:space="0"/>
              <w:bottom w:val="single" w:color="000000" w:sz="4" w:space="0"/>
              <w:right w:val="single" w:color="auto" w:sz="4" w:space="0"/>
            </w:tcBorders>
            <w:shd w:val="clear" w:color="auto" w:fill="FFFFFF"/>
            <w:noWrap/>
            <w:vAlign w:val="center"/>
          </w:tcPr>
          <w:p w14:paraId="60A33005">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w:t>
            </w:r>
            <w:r>
              <w:rPr>
                <w:rFonts w:hint="eastAsia" w:ascii="Times New Roman" w:hAnsi="Times New Roman" w:eastAsia="宋体"/>
                <w:kern w:val="0"/>
                <w:sz w:val="24"/>
                <w:szCs w:val="24"/>
              </w:rPr>
              <w:t>1</w:t>
            </w:r>
            <w:r>
              <w:rPr>
                <w:rFonts w:ascii="Times New Roman" w:hAnsi="Times New Roman" w:eastAsia="宋体"/>
                <w:kern w:val="0"/>
                <w:sz w:val="24"/>
                <w:szCs w:val="24"/>
              </w:rPr>
              <w:t>50个</w:t>
            </w:r>
          </w:p>
        </w:tc>
        <w:tc>
          <w:tcPr>
            <w:tcW w:w="1843" w:type="dxa"/>
            <w:vMerge w:val="continue"/>
            <w:tcBorders>
              <w:top w:val="single" w:color="auto" w:sz="4" w:space="0"/>
              <w:left w:val="single" w:color="auto" w:sz="4" w:space="0"/>
              <w:bottom w:val="single" w:color="000000" w:sz="4" w:space="0"/>
              <w:right w:val="single" w:color="000000" w:sz="4" w:space="0"/>
            </w:tcBorders>
            <w:shd w:val="clear" w:color="auto" w:fill="FFFFFF"/>
          </w:tcPr>
          <w:p w14:paraId="6E86E40A">
            <w:pPr>
              <w:spacing w:line="320" w:lineRule="exact"/>
              <w:ind w:firstLine="0" w:firstLineChars="0"/>
              <w:jc w:val="left"/>
              <w:rPr>
                <w:rFonts w:ascii="Times New Roman" w:hAnsi="Times New Roman" w:eastAsia="宋体"/>
                <w:kern w:val="0"/>
                <w:sz w:val="24"/>
                <w:szCs w:val="24"/>
              </w:rPr>
            </w:pPr>
          </w:p>
        </w:tc>
        <w:tc>
          <w:tcPr>
            <w:tcW w:w="2126" w:type="dxa"/>
            <w:tcBorders>
              <w:top w:val="single" w:color="auto" w:sz="4" w:space="0"/>
              <w:left w:val="single" w:color="000000" w:sz="4" w:space="0"/>
              <w:bottom w:val="single" w:color="000000" w:sz="4" w:space="0"/>
              <w:right w:val="single" w:color="000000" w:sz="4" w:space="0"/>
            </w:tcBorders>
            <w:shd w:val="clear" w:color="auto" w:fill="FFFFFF"/>
            <w:vAlign w:val="center"/>
          </w:tcPr>
          <w:p w14:paraId="12A013D5">
            <w:pPr>
              <w:spacing w:line="320" w:lineRule="exact"/>
              <w:ind w:firstLine="0" w:firstLineChars="0"/>
              <w:jc w:val="left"/>
              <w:rPr>
                <w:rFonts w:ascii="Times New Roman" w:hAnsi="Times New Roman" w:eastAsia="宋体"/>
                <w:kern w:val="0"/>
                <w:sz w:val="24"/>
                <w:szCs w:val="24"/>
              </w:rPr>
            </w:pPr>
            <w:r>
              <w:rPr>
                <w:rFonts w:hint="eastAsia" w:ascii="Times New Roman" w:hAnsi="Times New Roman" w:eastAsia="宋体"/>
                <w:kern w:val="0"/>
                <w:sz w:val="24"/>
                <w:szCs w:val="24"/>
              </w:rPr>
              <w:t>全年</w:t>
            </w:r>
            <w:r>
              <w:rPr>
                <w:rFonts w:ascii="Times New Roman" w:hAnsi="Times New Roman" w:eastAsia="宋体"/>
                <w:kern w:val="0"/>
                <w:sz w:val="24"/>
                <w:szCs w:val="24"/>
              </w:rPr>
              <w:t>培育小小民生观察员数量</w:t>
            </w:r>
            <w:r>
              <w:rPr>
                <w:rFonts w:hint="eastAsia" w:ascii="Times New Roman" w:hAnsi="Times New Roman" w:eastAsia="宋体"/>
                <w:kern w:val="0"/>
                <w:sz w:val="24"/>
                <w:szCs w:val="24"/>
              </w:rPr>
              <w:t>不少于150个得1分。</w:t>
            </w:r>
          </w:p>
        </w:tc>
        <w:tc>
          <w:tcPr>
            <w:tcW w:w="824" w:type="dxa"/>
            <w:tcBorders>
              <w:top w:val="single" w:color="auto" w:sz="4" w:space="0"/>
              <w:left w:val="single" w:color="000000" w:sz="4" w:space="0"/>
              <w:bottom w:val="single" w:color="000000" w:sz="4" w:space="0"/>
              <w:right w:val="single" w:color="000000" w:sz="4" w:space="0"/>
            </w:tcBorders>
            <w:shd w:val="clear" w:color="auto" w:fill="FFFFFF"/>
            <w:vAlign w:val="center"/>
          </w:tcPr>
          <w:p w14:paraId="3671BFBD">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1</w:t>
            </w:r>
          </w:p>
        </w:tc>
        <w:tc>
          <w:tcPr>
            <w:tcW w:w="4185" w:type="dxa"/>
            <w:tcBorders>
              <w:top w:val="single" w:color="auto" w:sz="4" w:space="0"/>
              <w:left w:val="single" w:color="000000" w:sz="4" w:space="0"/>
              <w:bottom w:val="single" w:color="000000" w:sz="4" w:space="0"/>
              <w:right w:val="single" w:color="000000" w:sz="4" w:space="0"/>
            </w:tcBorders>
            <w:shd w:val="clear" w:color="auto" w:fill="FFFFFF"/>
          </w:tcPr>
          <w:p w14:paraId="7CE0DA15">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特色活动畅通儿童参与渠道，儿童参与度显著提升，第三届“小小民生观察员”活动参与人数较上届增长40%，</w:t>
            </w:r>
            <w:r>
              <w:rPr>
                <w:rFonts w:hint="eastAsia" w:ascii="Times New Roman" w:hAnsi="Times New Roman" w:eastAsia="宋体"/>
                <w:kern w:val="0"/>
                <w:sz w:val="24"/>
                <w:szCs w:val="24"/>
              </w:rPr>
              <w:t>培育小小民生观察员200名，</w:t>
            </w:r>
            <w:r>
              <w:rPr>
                <w:rFonts w:ascii="Times New Roman" w:hAnsi="Times New Roman" w:eastAsia="宋体"/>
                <w:kern w:val="0"/>
                <w:sz w:val="24"/>
                <w:szCs w:val="24"/>
              </w:rPr>
              <w:t>征集建议3776例，评出优秀建议200个，举办暑期训练营，激发儿童参与热情，推动儿童从“建设受益者”转变为“发展参与者、共创者”。</w:t>
            </w:r>
          </w:p>
        </w:tc>
      </w:tr>
      <w:tr w14:paraId="5CE60498">
        <w:tblPrEx>
          <w:tblCellMar>
            <w:top w:w="0" w:type="dxa"/>
            <w:left w:w="108" w:type="dxa"/>
            <w:bottom w:w="0" w:type="dxa"/>
            <w:right w:w="108" w:type="dxa"/>
          </w:tblCellMar>
        </w:tblPrEx>
        <w:trPr>
          <w:trHeight w:val="981" w:hRule="atLeast"/>
          <w:jc w:val="center"/>
        </w:trPr>
        <w:tc>
          <w:tcPr>
            <w:tcW w:w="13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77FFF8">
            <w:pPr>
              <w:spacing w:line="36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C部门履职（30分）</w:t>
            </w:r>
          </w:p>
        </w:tc>
        <w:tc>
          <w:tcPr>
            <w:tcW w:w="11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956EB2">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C4推进家庭家教家风建设任务完成情况（</w:t>
            </w:r>
            <w:r>
              <w:rPr>
                <w:rFonts w:hint="eastAsia" w:ascii="Times New Roman" w:hAnsi="Times New Roman" w:eastAsia="宋体"/>
                <w:kern w:val="0"/>
                <w:sz w:val="24"/>
                <w:szCs w:val="24"/>
              </w:rPr>
              <w:t>6</w:t>
            </w:r>
            <w:r>
              <w:rPr>
                <w:rFonts w:ascii="Times New Roman" w:hAnsi="Times New Roman" w:eastAsia="宋体"/>
                <w:kern w:val="0"/>
                <w:sz w:val="24"/>
                <w:szCs w:val="24"/>
              </w:rPr>
              <w:t>分）</w:t>
            </w:r>
          </w:p>
          <w:p w14:paraId="025753B4">
            <w:pPr>
              <w:spacing w:line="320" w:lineRule="exact"/>
              <w:ind w:firstLine="0" w:firstLineChars="0"/>
              <w:jc w:val="left"/>
              <w:rPr>
                <w:rFonts w:ascii="Times New Roman" w:hAnsi="Times New Roman" w:eastAsia="宋体"/>
                <w:kern w:val="0"/>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42D32">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C41家庭建设工作覆盖面扩大</w:t>
            </w:r>
          </w:p>
        </w:tc>
        <w:tc>
          <w:tcPr>
            <w:tcW w:w="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ED247F">
            <w:pPr>
              <w:spacing w:line="320" w:lineRule="exact"/>
              <w:ind w:firstLine="248" w:firstLineChars="100"/>
              <w:rPr>
                <w:rFonts w:ascii="Times New Roman" w:hAnsi="Times New Roman" w:eastAsia="宋体"/>
                <w:kern w:val="0"/>
                <w:sz w:val="24"/>
                <w:szCs w:val="24"/>
              </w:rPr>
            </w:pPr>
            <w:r>
              <w:rPr>
                <w:rFonts w:ascii="Times New Roman" w:hAnsi="Times New Roman" w:eastAsia="宋体"/>
                <w:kern w:val="0"/>
                <w:sz w:val="24"/>
                <w:szCs w:val="24"/>
              </w:rPr>
              <w:t>1</w:t>
            </w:r>
          </w:p>
        </w:tc>
        <w:tc>
          <w:tcPr>
            <w:tcW w:w="992" w:type="dxa"/>
            <w:tcBorders>
              <w:top w:val="single" w:color="000000" w:sz="4" w:space="0"/>
              <w:left w:val="single" w:color="000000" w:sz="4" w:space="0"/>
              <w:bottom w:val="single" w:color="auto" w:sz="4" w:space="0"/>
              <w:right w:val="single" w:color="000000" w:sz="4" w:space="0"/>
            </w:tcBorders>
            <w:shd w:val="clear" w:color="auto" w:fill="FFFFFF"/>
            <w:noWrap/>
            <w:vAlign w:val="center"/>
          </w:tcPr>
          <w:p w14:paraId="61C48FDD">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扩大</w:t>
            </w:r>
          </w:p>
        </w:tc>
        <w:tc>
          <w:tcPr>
            <w:tcW w:w="1843" w:type="dxa"/>
            <w:tcBorders>
              <w:top w:val="single" w:color="000000" w:sz="4" w:space="0"/>
              <w:left w:val="single" w:color="000000" w:sz="4" w:space="0"/>
              <w:bottom w:val="single" w:color="auto" w:sz="4" w:space="0"/>
              <w:right w:val="single" w:color="000000" w:sz="4" w:space="0"/>
            </w:tcBorders>
            <w:shd w:val="clear" w:color="auto" w:fill="FFFFFF"/>
            <w:vAlign w:val="center"/>
          </w:tcPr>
          <w:p w14:paraId="08A1A9FE">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主要考核深化清廉家风建设，扩大家风家教服务覆盖面的情况</w:t>
            </w:r>
          </w:p>
        </w:tc>
        <w:tc>
          <w:tcPr>
            <w:tcW w:w="2126" w:type="dxa"/>
            <w:tcBorders>
              <w:top w:val="single" w:color="000000" w:sz="4" w:space="0"/>
              <w:left w:val="single" w:color="000000" w:sz="4" w:space="0"/>
              <w:bottom w:val="single" w:color="auto" w:sz="4" w:space="0"/>
              <w:right w:val="single" w:color="000000" w:sz="4" w:space="0"/>
            </w:tcBorders>
            <w:shd w:val="clear" w:color="auto" w:fill="FFFFFF"/>
            <w:vAlign w:val="center"/>
          </w:tcPr>
          <w:p w14:paraId="2F80002B">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1.家庭建设工作成效凸显，获得省级以上表彰，得0.5分。</w:t>
            </w:r>
          </w:p>
          <w:p w14:paraId="55275CE6">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2.多部门协同推进清廉家风建设，相关工作在主流媒体宣传报道，得0.5分。</w:t>
            </w:r>
          </w:p>
        </w:tc>
        <w:tc>
          <w:tcPr>
            <w:tcW w:w="824" w:type="dxa"/>
            <w:tcBorders>
              <w:top w:val="single" w:color="000000" w:sz="4" w:space="0"/>
              <w:left w:val="single" w:color="000000" w:sz="4" w:space="0"/>
              <w:bottom w:val="single" w:color="auto" w:sz="4" w:space="0"/>
              <w:right w:val="single" w:color="000000" w:sz="4" w:space="0"/>
            </w:tcBorders>
            <w:shd w:val="clear" w:color="auto" w:fill="FFFFFF"/>
            <w:vAlign w:val="center"/>
          </w:tcPr>
          <w:p w14:paraId="6DEC8924">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4185" w:type="dxa"/>
            <w:tcBorders>
              <w:top w:val="single" w:color="000000" w:sz="4" w:space="0"/>
              <w:left w:val="single" w:color="000000" w:sz="4" w:space="0"/>
              <w:bottom w:val="single" w:color="auto" w:sz="4" w:space="0"/>
              <w:right w:val="single" w:color="000000" w:sz="4" w:space="0"/>
            </w:tcBorders>
            <w:shd w:val="clear" w:color="auto" w:fill="FFFFFF"/>
            <w:vAlign w:val="center"/>
          </w:tcPr>
          <w:p w14:paraId="734B5970">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1.以家庭建设促民族团结，家儿部被省委省政府授予“江苏省民族团结进步模范集体”。</w:t>
            </w:r>
          </w:p>
          <w:p w14:paraId="69858C46">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2.家儿部《以“家力量”助推特大城市现代化治理水平提升》，获全国妇女工作改革创新优秀案例，并入选全市高质量发展案例。</w:t>
            </w:r>
          </w:p>
          <w:p w14:paraId="6E27DC2F">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3.市妇联推荐的4户家庭获第三届全国“文明家庭”称号。</w:t>
            </w:r>
          </w:p>
          <w:p w14:paraId="2983C632">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4.联合市博物总馆、市纪委派驻纪检组开展“百馆千员讲家风”暨“廉洁齐家·同建同行”主题宣讲活动，在《中国妇女报》《中国纪检监察报》等媒体报道。</w:t>
            </w:r>
          </w:p>
        </w:tc>
      </w:tr>
      <w:tr w14:paraId="3148E2F8">
        <w:tblPrEx>
          <w:tblCellMar>
            <w:top w:w="0" w:type="dxa"/>
            <w:left w:w="108" w:type="dxa"/>
            <w:bottom w:w="0" w:type="dxa"/>
            <w:right w:w="108" w:type="dxa"/>
          </w:tblCellMar>
        </w:tblPrEx>
        <w:trPr>
          <w:trHeight w:val="435" w:hRule="atLeast"/>
          <w:jc w:val="center"/>
        </w:trPr>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DE91FB">
            <w:pPr>
              <w:spacing w:line="360" w:lineRule="exact"/>
              <w:ind w:firstLine="0" w:firstLineChars="0"/>
              <w:jc w:val="center"/>
              <w:rPr>
                <w:rFonts w:ascii="Times New Roman" w:hAnsi="Times New Roman" w:eastAsia="宋体"/>
                <w:kern w:val="0"/>
                <w:sz w:val="24"/>
                <w:szCs w:val="24"/>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1E06CC">
            <w:pPr>
              <w:spacing w:line="320" w:lineRule="exact"/>
              <w:ind w:firstLine="0" w:firstLineChars="0"/>
              <w:jc w:val="left"/>
              <w:rPr>
                <w:rFonts w:ascii="Times New Roman" w:hAnsi="Times New Roman" w:eastAsia="宋体"/>
                <w:kern w:val="0"/>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95250">
            <w:pPr>
              <w:pStyle w:val="41"/>
              <w:spacing w:before="130" w:line="320" w:lineRule="exact"/>
              <w:ind w:firstLine="0" w:firstLineChars="0"/>
              <w:rPr>
                <w:rFonts w:ascii="Times New Roman" w:hAnsi="Times New Roman" w:cs="Times New Roman"/>
                <w:kern w:val="0"/>
                <w:sz w:val="24"/>
                <w:szCs w:val="24"/>
                <w:lang w:eastAsia="zh-CN"/>
              </w:rPr>
            </w:pPr>
            <w:r>
              <w:rPr>
                <w:rFonts w:ascii="Times New Roman" w:hAnsi="Times New Roman" w:cs="Times New Roman"/>
                <w:spacing w:val="-6"/>
                <w:kern w:val="0"/>
                <w:sz w:val="24"/>
                <w:szCs w:val="24"/>
                <w:lang w:eastAsia="zh-CN"/>
              </w:rPr>
              <w:t>C42开展“走进千万家”家庭教育指导巡讲</w:t>
            </w:r>
          </w:p>
        </w:tc>
        <w:tc>
          <w:tcPr>
            <w:tcW w:w="896" w:type="dxa"/>
            <w:tcBorders>
              <w:top w:val="single" w:color="000000" w:sz="4" w:space="0"/>
              <w:left w:val="single" w:color="000000" w:sz="4" w:space="0"/>
              <w:bottom w:val="single" w:color="000000" w:sz="4" w:space="0"/>
              <w:right w:val="single" w:color="auto" w:sz="4" w:space="0"/>
            </w:tcBorders>
            <w:shd w:val="clear" w:color="auto" w:fill="FFFFFF"/>
            <w:noWrap/>
            <w:vAlign w:val="center"/>
          </w:tcPr>
          <w:p w14:paraId="0F61C8AD">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99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AE1537B">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≥30场</w:t>
            </w:r>
          </w:p>
        </w:tc>
        <w:tc>
          <w:tcPr>
            <w:tcW w:w="184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05EDDA3A">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主要考核线上线下开展家庭教育指导服务、深化家庭教育指导的情况</w:t>
            </w:r>
          </w:p>
        </w:tc>
        <w:tc>
          <w:tcPr>
            <w:tcW w:w="2126" w:type="dxa"/>
            <w:tcBorders>
              <w:top w:val="single" w:color="auto" w:sz="4" w:space="0"/>
              <w:left w:val="single" w:color="auto" w:sz="4" w:space="0"/>
              <w:bottom w:val="single" w:color="auto" w:sz="4" w:space="0"/>
              <w:right w:val="single" w:color="auto" w:sz="4" w:space="0"/>
            </w:tcBorders>
            <w:shd w:val="clear" w:color="auto" w:fill="FFFFFF"/>
            <w:vAlign w:val="center"/>
          </w:tcPr>
          <w:p w14:paraId="5F81D194">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1.开展线下“走进千万家”家庭教育指导巡讲30场，得1分。</w:t>
            </w:r>
          </w:p>
          <w:p w14:paraId="5B7E7AF1">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2.扩大家庭教育指导活动覆盖，得1分。</w:t>
            </w:r>
          </w:p>
        </w:tc>
        <w:tc>
          <w:tcPr>
            <w:tcW w:w="824" w:type="dxa"/>
            <w:tcBorders>
              <w:top w:val="single" w:color="auto" w:sz="4" w:space="0"/>
              <w:left w:val="single" w:color="auto" w:sz="4" w:space="0"/>
              <w:bottom w:val="single" w:color="auto" w:sz="4" w:space="0"/>
              <w:right w:val="single" w:color="auto" w:sz="4" w:space="0"/>
            </w:tcBorders>
            <w:shd w:val="clear" w:color="auto" w:fill="FFFFFF"/>
            <w:vAlign w:val="center"/>
          </w:tcPr>
          <w:p w14:paraId="7A4BDF4C">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2</w:t>
            </w:r>
          </w:p>
        </w:tc>
        <w:tc>
          <w:tcPr>
            <w:tcW w:w="4185" w:type="dxa"/>
            <w:tcBorders>
              <w:top w:val="single" w:color="auto" w:sz="4" w:space="0"/>
              <w:left w:val="single" w:color="auto" w:sz="4" w:space="0"/>
              <w:bottom w:val="single" w:color="auto" w:sz="4" w:space="0"/>
              <w:right w:val="single" w:color="auto" w:sz="4" w:space="0"/>
            </w:tcBorders>
            <w:shd w:val="clear" w:color="auto" w:fill="FFFFFF"/>
            <w:vAlign w:val="center"/>
          </w:tcPr>
          <w:p w14:paraId="5186C638">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1.更新“走进千万家”课程菜单，全年开展家庭教育指导巡讲40场，受益家长1600余人。</w:t>
            </w:r>
          </w:p>
          <w:p w14:paraId="605F7EC2">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2.将巡讲活动送到紫金山实验室等年轻群体较多的企业园区，并送课到安徽省马鞍山市。</w:t>
            </w:r>
          </w:p>
        </w:tc>
      </w:tr>
      <w:tr w14:paraId="4D5A7E36">
        <w:tblPrEx>
          <w:tblCellMar>
            <w:top w:w="0" w:type="dxa"/>
            <w:left w:w="108" w:type="dxa"/>
            <w:bottom w:w="0" w:type="dxa"/>
            <w:right w:w="108" w:type="dxa"/>
          </w:tblCellMar>
        </w:tblPrEx>
        <w:trPr>
          <w:trHeight w:val="1275" w:hRule="atLeast"/>
          <w:jc w:val="center"/>
        </w:trPr>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3508A7">
            <w:pPr>
              <w:spacing w:line="360" w:lineRule="exact"/>
              <w:ind w:firstLine="0" w:firstLineChars="0"/>
              <w:jc w:val="center"/>
              <w:rPr>
                <w:rFonts w:ascii="Times New Roman" w:hAnsi="Times New Roman" w:eastAsia="宋体"/>
                <w:kern w:val="0"/>
                <w:sz w:val="24"/>
                <w:szCs w:val="24"/>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39CB84">
            <w:pPr>
              <w:spacing w:line="320" w:lineRule="exact"/>
              <w:ind w:firstLine="0" w:firstLineChars="0"/>
              <w:jc w:val="left"/>
              <w:rPr>
                <w:rFonts w:ascii="Times New Roman" w:hAnsi="Times New Roman" w:eastAsia="宋体"/>
                <w:kern w:val="0"/>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8EB6C">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C43推送“宁姐137空中课堂”</w:t>
            </w:r>
          </w:p>
        </w:tc>
        <w:tc>
          <w:tcPr>
            <w:tcW w:w="896" w:type="dxa"/>
            <w:tcBorders>
              <w:top w:val="single" w:color="000000" w:sz="4" w:space="0"/>
              <w:left w:val="single" w:color="000000" w:sz="4" w:space="0"/>
              <w:bottom w:val="single" w:color="000000" w:sz="4" w:space="0"/>
              <w:right w:val="single" w:color="auto" w:sz="4" w:space="0"/>
            </w:tcBorders>
            <w:shd w:val="clear" w:color="auto" w:fill="FFFFFF"/>
            <w:noWrap/>
            <w:vAlign w:val="center"/>
          </w:tcPr>
          <w:p w14:paraId="131E14D2">
            <w:pPr>
              <w:spacing w:line="320" w:lineRule="exact"/>
              <w:ind w:firstLine="0" w:firstLineChars="0"/>
              <w:jc w:val="center"/>
              <w:rPr>
                <w:rFonts w:ascii="Times New Roman" w:hAnsi="Times New Roman" w:eastAsia="宋体"/>
                <w:kern w:val="0"/>
                <w:sz w:val="24"/>
                <w:szCs w:val="24"/>
              </w:rPr>
            </w:pPr>
            <w:r>
              <w:rPr>
                <w:rFonts w:hint="eastAsia" w:ascii="Times New Roman" w:hAnsi="Times New Roman" w:eastAsia="宋体"/>
                <w:kern w:val="0"/>
                <w:sz w:val="24"/>
                <w:szCs w:val="24"/>
              </w:rPr>
              <w:t>2</w:t>
            </w:r>
          </w:p>
        </w:tc>
        <w:tc>
          <w:tcPr>
            <w:tcW w:w="99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FF251C2">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≥40期</w:t>
            </w:r>
          </w:p>
        </w:tc>
        <w:tc>
          <w:tcPr>
            <w:tcW w:w="184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E6BF69D">
            <w:pPr>
              <w:spacing w:line="320" w:lineRule="exact"/>
              <w:ind w:firstLine="0" w:firstLineChars="0"/>
              <w:jc w:val="left"/>
              <w:rPr>
                <w:rFonts w:ascii="Times New Roman" w:hAnsi="Times New Roman" w:eastAsia="宋体"/>
                <w:kern w:val="0"/>
                <w:sz w:val="24"/>
                <w:szCs w:val="24"/>
              </w:rPr>
            </w:pPr>
          </w:p>
        </w:tc>
        <w:tc>
          <w:tcPr>
            <w:tcW w:w="2126" w:type="dxa"/>
            <w:tcBorders>
              <w:top w:val="single" w:color="auto" w:sz="4" w:space="0"/>
              <w:left w:val="single" w:color="auto" w:sz="4" w:space="0"/>
              <w:bottom w:val="single" w:color="auto" w:sz="4" w:space="0"/>
              <w:right w:val="single" w:color="auto" w:sz="4" w:space="0"/>
            </w:tcBorders>
            <w:shd w:val="clear" w:color="auto" w:fill="FFFFFF"/>
            <w:vAlign w:val="center"/>
          </w:tcPr>
          <w:p w14:paraId="60682757">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1.推送“宁姐137空中课堂”线上家庭教育课程40期，得1分。</w:t>
            </w:r>
          </w:p>
          <w:p w14:paraId="4974A720">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2.在寒暑期开展家庭教育线下实践课程，得1分。</w:t>
            </w:r>
          </w:p>
        </w:tc>
        <w:tc>
          <w:tcPr>
            <w:tcW w:w="824" w:type="dxa"/>
            <w:tcBorders>
              <w:top w:val="single" w:color="auto" w:sz="4" w:space="0"/>
              <w:left w:val="single" w:color="auto" w:sz="4" w:space="0"/>
              <w:bottom w:val="single" w:color="auto" w:sz="4" w:space="0"/>
              <w:right w:val="single" w:color="auto" w:sz="4" w:space="0"/>
            </w:tcBorders>
            <w:shd w:val="clear" w:color="auto" w:fill="FFFFFF"/>
            <w:vAlign w:val="center"/>
          </w:tcPr>
          <w:p w14:paraId="3F1F8ACD">
            <w:pPr>
              <w:spacing w:line="320" w:lineRule="exact"/>
              <w:ind w:firstLine="0" w:firstLineChars="0"/>
              <w:jc w:val="center"/>
              <w:rPr>
                <w:rFonts w:ascii="Times New Roman" w:hAnsi="Times New Roman" w:eastAsia="宋体"/>
                <w:kern w:val="0"/>
                <w:sz w:val="24"/>
                <w:szCs w:val="24"/>
              </w:rPr>
            </w:pPr>
            <w:r>
              <w:rPr>
                <w:rFonts w:hint="eastAsia" w:ascii="Times New Roman" w:hAnsi="Times New Roman" w:eastAsia="宋体"/>
                <w:kern w:val="0"/>
                <w:sz w:val="24"/>
                <w:szCs w:val="24"/>
              </w:rPr>
              <w:t>2</w:t>
            </w:r>
          </w:p>
        </w:tc>
        <w:tc>
          <w:tcPr>
            <w:tcW w:w="4185" w:type="dxa"/>
            <w:tcBorders>
              <w:top w:val="single" w:color="auto" w:sz="4" w:space="0"/>
              <w:left w:val="single" w:color="auto" w:sz="4" w:space="0"/>
              <w:bottom w:val="single" w:color="auto" w:sz="4" w:space="0"/>
              <w:right w:val="single" w:color="auto" w:sz="4" w:space="0"/>
            </w:tcBorders>
            <w:shd w:val="clear" w:color="auto" w:fill="FFFFFF"/>
          </w:tcPr>
          <w:p w14:paraId="1F42230F">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1.更新“宁姐137空中课堂”主题，推送低空经济、人工智能、职业体验等课程40期。</w:t>
            </w:r>
          </w:p>
          <w:p w14:paraId="31484557">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2.寒暑期开展线下实践课程，走进南京条约史料陈列馆、集成电路创新馆、民俗博物馆等。</w:t>
            </w:r>
          </w:p>
        </w:tc>
      </w:tr>
      <w:tr w14:paraId="1DB166C7">
        <w:tblPrEx>
          <w:tblCellMar>
            <w:top w:w="0" w:type="dxa"/>
            <w:left w:w="108" w:type="dxa"/>
            <w:bottom w:w="0" w:type="dxa"/>
            <w:right w:w="108" w:type="dxa"/>
          </w:tblCellMar>
        </w:tblPrEx>
        <w:trPr>
          <w:trHeight w:val="978" w:hRule="atLeast"/>
          <w:jc w:val="center"/>
        </w:trPr>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CA1B0B">
            <w:pPr>
              <w:spacing w:line="360" w:lineRule="exact"/>
              <w:ind w:firstLine="0" w:firstLineChars="0"/>
              <w:jc w:val="center"/>
              <w:rPr>
                <w:rFonts w:ascii="Times New Roman" w:hAnsi="Times New Roman" w:eastAsia="宋体"/>
                <w:kern w:val="0"/>
                <w:sz w:val="24"/>
                <w:szCs w:val="24"/>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112687">
            <w:pPr>
              <w:spacing w:line="320" w:lineRule="exact"/>
              <w:ind w:firstLine="0" w:firstLineChars="0"/>
              <w:jc w:val="left"/>
              <w:rPr>
                <w:rFonts w:ascii="Times New Roman" w:hAnsi="Times New Roman" w:eastAsia="宋体"/>
                <w:kern w:val="0"/>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F24CC">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C44服务儿童人数</w:t>
            </w:r>
          </w:p>
        </w:tc>
        <w:tc>
          <w:tcPr>
            <w:tcW w:w="896" w:type="dxa"/>
            <w:tcBorders>
              <w:top w:val="single" w:color="000000" w:sz="4" w:space="0"/>
              <w:left w:val="single" w:color="000000" w:sz="4" w:space="0"/>
              <w:bottom w:val="single" w:color="000000" w:sz="4" w:space="0"/>
              <w:right w:val="single" w:color="auto" w:sz="4" w:space="0"/>
            </w:tcBorders>
            <w:shd w:val="clear" w:color="auto" w:fill="FFFFFF"/>
            <w:noWrap/>
            <w:vAlign w:val="center"/>
          </w:tcPr>
          <w:p w14:paraId="50560055">
            <w:pPr>
              <w:spacing w:line="320" w:lineRule="exact"/>
              <w:ind w:firstLine="248" w:firstLineChars="100"/>
              <w:jc w:val="left"/>
              <w:rPr>
                <w:rFonts w:ascii="Times New Roman" w:hAnsi="Times New Roman" w:eastAsia="宋体"/>
                <w:kern w:val="0"/>
                <w:sz w:val="24"/>
                <w:szCs w:val="24"/>
              </w:rPr>
            </w:pPr>
            <w:r>
              <w:rPr>
                <w:rFonts w:hint="eastAsia" w:ascii="Times New Roman" w:hAnsi="Times New Roman" w:eastAsia="宋体"/>
                <w:kern w:val="0"/>
                <w:sz w:val="24"/>
                <w:szCs w:val="24"/>
              </w:rPr>
              <w:t>1</w:t>
            </w:r>
          </w:p>
        </w:tc>
        <w:tc>
          <w:tcPr>
            <w:tcW w:w="99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EBB4648">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w:t>
            </w:r>
            <w:r>
              <w:rPr>
                <w:rFonts w:hint="eastAsia" w:ascii="Times New Roman" w:hAnsi="Times New Roman" w:eastAsia="宋体"/>
                <w:kern w:val="0"/>
                <w:sz w:val="24"/>
                <w:szCs w:val="24"/>
              </w:rPr>
              <w:t>8</w:t>
            </w:r>
            <w:r>
              <w:rPr>
                <w:rFonts w:ascii="Times New Roman" w:hAnsi="Times New Roman" w:eastAsia="宋体"/>
                <w:kern w:val="0"/>
                <w:sz w:val="24"/>
                <w:szCs w:val="24"/>
              </w:rPr>
              <w:t>00人次</w:t>
            </w:r>
          </w:p>
        </w:tc>
        <w:tc>
          <w:tcPr>
            <w:tcW w:w="1843" w:type="dxa"/>
            <w:tcBorders>
              <w:top w:val="single" w:color="auto" w:sz="4" w:space="0"/>
              <w:left w:val="single" w:color="auto" w:sz="4" w:space="0"/>
              <w:bottom w:val="single" w:color="auto" w:sz="4" w:space="0"/>
              <w:right w:val="single" w:color="auto" w:sz="4" w:space="0"/>
            </w:tcBorders>
            <w:shd w:val="clear" w:color="auto" w:fill="FFFFFF"/>
            <w:vAlign w:val="center"/>
          </w:tcPr>
          <w:p w14:paraId="40CCB889">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主要考核开展儿童友好公益研学活动，引导儿童参与社会实践的情况</w:t>
            </w:r>
          </w:p>
        </w:tc>
        <w:tc>
          <w:tcPr>
            <w:tcW w:w="2126" w:type="dxa"/>
            <w:tcBorders>
              <w:top w:val="single" w:color="auto" w:sz="4" w:space="0"/>
              <w:left w:val="single" w:color="auto" w:sz="4" w:space="0"/>
              <w:bottom w:val="single" w:color="auto" w:sz="4" w:space="0"/>
              <w:right w:val="single" w:color="auto" w:sz="4" w:space="0"/>
            </w:tcBorders>
            <w:shd w:val="clear" w:color="auto" w:fill="FFFFFF"/>
          </w:tcPr>
          <w:p w14:paraId="00E0C51B">
            <w:pPr>
              <w:spacing w:line="320" w:lineRule="exact"/>
              <w:ind w:firstLine="0" w:firstLineChars="0"/>
              <w:jc w:val="left"/>
              <w:rPr>
                <w:rFonts w:ascii="Times New Roman" w:hAnsi="Times New Roman" w:eastAsia="宋体"/>
                <w:kern w:val="0"/>
                <w:sz w:val="24"/>
                <w:szCs w:val="24"/>
              </w:rPr>
            </w:pPr>
            <w:r>
              <w:rPr>
                <w:rFonts w:hint="eastAsia" w:ascii="Times New Roman" w:hAnsi="Times New Roman" w:eastAsia="宋体"/>
                <w:kern w:val="0"/>
                <w:sz w:val="24"/>
                <w:szCs w:val="24"/>
              </w:rPr>
              <w:t>参与儿童友好公益研学活动人次不少于800人得1分；400-800人得0.5分；400人以下不得分。</w:t>
            </w:r>
          </w:p>
        </w:tc>
        <w:tc>
          <w:tcPr>
            <w:tcW w:w="824" w:type="dxa"/>
            <w:tcBorders>
              <w:top w:val="single" w:color="auto" w:sz="4" w:space="0"/>
              <w:left w:val="single" w:color="auto" w:sz="4" w:space="0"/>
              <w:bottom w:val="single" w:color="auto" w:sz="4" w:space="0"/>
              <w:right w:val="single" w:color="auto" w:sz="4" w:space="0"/>
            </w:tcBorders>
            <w:shd w:val="clear" w:color="auto" w:fill="FFFFFF"/>
            <w:vAlign w:val="center"/>
          </w:tcPr>
          <w:p w14:paraId="7646317C">
            <w:pPr>
              <w:spacing w:line="320" w:lineRule="exact"/>
              <w:ind w:firstLine="0" w:firstLineChars="0"/>
              <w:jc w:val="center"/>
              <w:rPr>
                <w:rFonts w:ascii="Times New Roman" w:hAnsi="Times New Roman" w:eastAsia="宋体"/>
                <w:kern w:val="0"/>
                <w:sz w:val="24"/>
                <w:szCs w:val="24"/>
              </w:rPr>
            </w:pPr>
            <w:r>
              <w:rPr>
                <w:rFonts w:hint="eastAsia" w:ascii="Times New Roman" w:hAnsi="Times New Roman" w:eastAsia="宋体"/>
                <w:kern w:val="0"/>
                <w:sz w:val="24"/>
                <w:szCs w:val="24"/>
              </w:rPr>
              <w:t>1</w:t>
            </w:r>
          </w:p>
        </w:tc>
        <w:tc>
          <w:tcPr>
            <w:tcW w:w="4185" w:type="dxa"/>
            <w:tcBorders>
              <w:top w:val="single" w:color="auto" w:sz="4" w:space="0"/>
              <w:left w:val="single" w:color="auto" w:sz="4" w:space="0"/>
              <w:bottom w:val="single" w:color="auto" w:sz="4" w:space="0"/>
              <w:right w:val="single" w:color="auto" w:sz="4" w:space="0"/>
            </w:tcBorders>
            <w:shd w:val="clear" w:color="auto" w:fill="FFFFFF"/>
            <w:vAlign w:val="center"/>
          </w:tcPr>
          <w:p w14:paraId="7D8A325F">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2025年“儿童友好·与宁同行”南京市公益研学圆满完成26场研学活动，服务人数达到1023人次，整体满意率96%。</w:t>
            </w:r>
          </w:p>
        </w:tc>
      </w:tr>
      <w:tr w14:paraId="27649AC2">
        <w:tblPrEx>
          <w:tblCellMar>
            <w:top w:w="0" w:type="dxa"/>
            <w:left w:w="108" w:type="dxa"/>
            <w:bottom w:w="0" w:type="dxa"/>
            <w:right w:w="108" w:type="dxa"/>
          </w:tblCellMar>
        </w:tblPrEx>
        <w:trPr>
          <w:trHeight w:val="90" w:hRule="atLeast"/>
          <w:jc w:val="center"/>
        </w:trPr>
        <w:tc>
          <w:tcPr>
            <w:tcW w:w="13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E5B4CE">
            <w:pPr>
              <w:spacing w:line="36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C部门履职（30分）</w:t>
            </w:r>
          </w:p>
        </w:tc>
        <w:tc>
          <w:tcPr>
            <w:tcW w:w="11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001935">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C5推动妇联组织建设和阵地建设任务完成情况（</w:t>
            </w:r>
            <w:r>
              <w:rPr>
                <w:rFonts w:hint="eastAsia" w:ascii="Times New Roman" w:hAnsi="Times New Roman" w:eastAsia="宋体"/>
                <w:kern w:val="0"/>
                <w:sz w:val="24"/>
                <w:szCs w:val="24"/>
              </w:rPr>
              <w:t>6</w:t>
            </w:r>
            <w:r>
              <w:rPr>
                <w:rFonts w:ascii="Times New Roman" w:hAnsi="Times New Roman" w:eastAsia="宋体"/>
                <w:kern w:val="0"/>
                <w:sz w:val="24"/>
                <w:szCs w:val="24"/>
              </w:rPr>
              <w:t>分）</w:t>
            </w:r>
          </w:p>
          <w:p w14:paraId="3B24E939">
            <w:pPr>
              <w:spacing w:line="320" w:lineRule="exact"/>
              <w:ind w:firstLine="0" w:firstLineChars="0"/>
              <w:jc w:val="left"/>
              <w:rPr>
                <w:rFonts w:ascii="Times New Roman" w:hAnsi="Times New Roman" w:eastAsia="宋体"/>
                <w:kern w:val="0"/>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BF1F7">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C51 全市基层妇联组织新建数量</w:t>
            </w:r>
          </w:p>
        </w:tc>
        <w:tc>
          <w:tcPr>
            <w:tcW w:w="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89C601">
            <w:pPr>
              <w:pStyle w:val="41"/>
              <w:spacing w:line="320" w:lineRule="exact"/>
              <w:ind w:firstLine="0" w:firstLineChars="0"/>
              <w:jc w:val="center"/>
              <w:rPr>
                <w:rFonts w:ascii="Times New Roman" w:hAnsi="Times New Roman" w:cs="Times New Roman"/>
                <w:kern w:val="0"/>
                <w:sz w:val="24"/>
                <w:szCs w:val="24"/>
                <w:lang w:eastAsia="zh-CN"/>
              </w:rPr>
            </w:pPr>
            <w:r>
              <w:rPr>
                <w:rFonts w:hint="eastAsia" w:ascii="Times New Roman" w:hAnsi="Times New Roman" w:cs="Times New Roman"/>
                <w:kern w:val="0"/>
                <w:sz w:val="24"/>
                <w:szCs w:val="24"/>
                <w:lang w:eastAsia="zh-CN"/>
              </w:rPr>
              <w:t>1</w:t>
            </w:r>
          </w:p>
        </w:tc>
        <w:tc>
          <w:tcPr>
            <w:tcW w:w="992" w:type="dxa"/>
            <w:tcBorders>
              <w:top w:val="single" w:color="auto" w:sz="4" w:space="0"/>
              <w:left w:val="single" w:color="000000" w:sz="4" w:space="0"/>
              <w:bottom w:val="single" w:color="000000" w:sz="4" w:space="0"/>
              <w:right w:val="single" w:color="auto" w:sz="4" w:space="0"/>
            </w:tcBorders>
            <w:shd w:val="clear" w:color="auto" w:fill="FFFFFF"/>
            <w:noWrap/>
            <w:vAlign w:val="center"/>
          </w:tcPr>
          <w:p w14:paraId="546B81B3">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≥40个</w:t>
            </w:r>
          </w:p>
        </w:tc>
        <w:tc>
          <w:tcPr>
            <w:tcW w:w="184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03B78819">
            <w:pPr>
              <w:pStyle w:val="41"/>
              <w:spacing w:before="78" w:line="320" w:lineRule="exact"/>
              <w:ind w:right="292" w:firstLine="0" w:firstLineChars="0"/>
              <w:rPr>
                <w:rFonts w:ascii="Times New Roman" w:hAnsi="Times New Roman" w:cs="Times New Roman"/>
                <w:kern w:val="0"/>
                <w:sz w:val="24"/>
                <w:szCs w:val="24"/>
              </w:rPr>
            </w:pPr>
            <w:r>
              <w:rPr>
                <w:rFonts w:ascii="Times New Roman" w:hAnsi="Times New Roman" w:cs="Times New Roman"/>
                <w:kern w:val="0"/>
                <w:sz w:val="24"/>
                <w:szCs w:val="24"/>
                <w:lang w:eastAsia="zh-CN"/>
              </w:rPr>
              <w:t>主要考核持续深化“三新”领域妇联组织建设，推动妇联组织和工作向新业态新就业群体覆盖的情况</w:t>
            </w:r>
          </w:p>
        </w:tc>
        <w:tc>
          <w:tcPr>
            <w:tcW w:w="2126" w:type="dxa"/>
            <w:tcBorders>
              <w:top w:val="single" w:color="auto" w:sz="4" w:space="0"/>
              <w:left w:val="single" w:color="auto" w:sz="4" w:space="0"/>
              <w:bottom w:val="single" w:color="000000" w:sz="4" w:space="0"/>
              <w:right w:val="single" w:color="000000" w:sz="4" w:space="0"/>
            </w:tcBorders>
            <w:shd w:val="clear" w:color="auto" w:fill="FFFFFF"/>
            <w:vAlign w:val="center"/>
          </w:tcPr>
          <w:p w14:paraId="22537CE8">
            <w:pPr>
              <w:spacing w:line="320" w:lineRule="exact"/>
              <w:ind w:firstLine="0" w:firstLineChars="0"/>
              <w:textAlignment w:val="center"/>
              <w:rPr>
                <w:rFonts w:ascii="Times New Roman" w:hAnsi="Times New Roman" w:eastAsia="宋体"/>
                <w:kern w:val="0"/>
                <w:sz w:val="24"/>
                <w:szCs w:val="24"/>
              </w:rPr>
            </w:pPr>
            <w:r>
              <w:rPr>
                <w:rFonts w:ascii="Times New Roman" w:hAnsi="Times New Roman" w:eastAsia="宋体"/>
                <w:kern w:val="0"/>
                <w:sz w:val="24"/>
                <w:szCs w:val="24"/>
              </w:rPr>
              <w:t>全年新建新兴领域妇联不少于40个，得</w:t>
            </w:r>
            <w:r>
              <w:rPr>
                <w:rFonts w:hint="eastAsia" w:ascii="Times New Roman" w:hAnsi="Times New Roman" w:eastAsia="宋体"/>
                <w:kern w:val="0"/>
                <w:sz w:val="24"/>
                <w:szCs w:val="24"/>
              </w:rPr>
              <w:t>1</w:t>
            </w:r>
            <w:r>
              <w:rPr>
                <w:rFonts w:ascii="Times New Roman" w:hAnsi="Times New Roman" w:eastAsia="宋体"/>
                <w:kern w:val="0"/>
                <w:sz w:val="24"/>
                <w:szCs w:val="24"/>
              </w:rPr>
              <w:t>分</w:t>
            </w:r>
            <w:r>
              <w:rPr>
                <w:rFonts w:hint="eastAsia" w:ascii="Times New Roman" w:hAnsi="Times New Roman" w:eastAsia="宋体"/>
                <w:kern w:val="0"/>
                <w:sz w:val="24"/>
                <w:szCs w:val="24"/>
              </w:rPr>
              <w:t>；20-40个得0.5分；20以下不得分。</w:t>
            </w:r>
          </w:p>
        </w:tc>
        <w:tc>
          <w:tcPr>
            <w:tcW w:w="824" w:type="dxa"/>
            <w:tcBorders>
              <w:top w:val="single" w:color="auto" w:sz="4" w:space="0"/>
              <w:left w:val="single" w:color="000000" w:sz="4" w:space="0"/>
              <w:bottom w:val="single" w:color="000000" w:sz="4" w:space="0"/>
              <w:right w:val="single" w:color="000000" w:sz="4" w:space="0"/>
            </w:tcBorders>
            <w:shd w:val="clear" w:color="auto" w:fill="FFFFFF"/>
            <w:vAlign w:val="center"/>
          </w:tcPr>
          <w:p w14:paraId="0D6FE13F">
            <w:pPr>
              <w:pStyle w:val="41"/>
              <w:spacing w:line="320" w:lineRule="exact"/>
              <w:ind w:firstLine="0" w:firstLineChars="0"/>
              <w:jc w:val="center"/>
              <w:rPr>
                <w:rFonts w:ascii="Times New Roman" w:hAnsi="Times New Roman" w:cs="Times New Roman"/>
                <w:kern w:val="0"/>
                <w:sz w:val="24"/>
                <w:szCs w:val="24"/>
                <w:lang w:eastAsia="zh-CN"/>
              </w:rPr>
            </w:pPr>
            <w:r>
              <w:rPr>
                <w:rFonts w:hint="eastAsia" w:ascii="Times New Roman" w:hAnsi="Times New Roman" w:cs="Times New Roman"/>
                <w:kern w:val="0"/>
                <w:sz w:val="24"/>
                <w:szCs w:val="24"/>
                <w:lang w:eastAsia="zh-CN"/>
              </w:rPr>
              <w:t>1</w:t>
            </w:r>
          </w:p>
        </w:tc>
        <w:tc>
          <w:tcPr>
            <w:tcW w:w="4185" w:type="dxa"/>
            <w:tcBorders>
              <w:top w:val="single" w:color="auto" w:sz="4" w:space="0"/>
              <w:left w:val="single" w:color="000000" w:sz="4" w:space="0"/>
              <w:bottom w:val="single" w:color="000000" w:sz="4" w:space="0"/>
              <w:right w:val="single" w:color="000000" w:sz="4" w:space="0"/>
            </w:tcBorders>
            <w:shd w:val="clear" w:color="auto" w:fill="FFFFFF"/>
            <w:vAlign w:val="center"/>
          </w:tcPr>
          <w:p w14:paraId="31A4C516">
            <w:pPr>
              <w:spacing w:line="320" w:lineRule="exact"/>
              <w:ind w:firstLine="0" w:firstLineChars="0"/>
              <w:textAlignment w:val="center"/>
              <w:rPr>
                <w:rFonts w:ascii="Times New Roman" w:hAnsi="Times New Roman" w:eastAsia="宋体"/>
                <w:kern w:val="0"/>
                <w:sz w:val="24"/>
                <w:szCs w:val="24"/>
              </w:rPr>
            </w:pPr>
            <w:r>
              <w:rPr>
                <w:rFonts w:ascii="Times New Roman" w:hAnsi="Times New Roman" w:eastAsia="宋体"/>
                <w:kern w:val="0"/>
                <w:sz w:val="24"/>
                <w:szCs w:val="24"/>
              </w:rPr>
              <w:t>全面完成纳入省妇联的9个新兴领域试点任务，推动成立市注册会计师、税务师等行业妇联，新建各类新兴领域妇联组织123个</w:t>
            </w:r>
            <w:r>
              <w:rPr>
                <w:rFonts w:hint="eastAsia" w:ascii="Times New Roman" w:hAnsi="Times New Roman" w:eastAsia="宋体"/>
                <w:kern w:val="0"/>
                <w:sz w:val="24"/>
                <w:szCs w:val="24"/>
              </w:rPr>
              <w:t>（含市级专项资金使用绩效）</w:t>
            </w:r>
            <w:r>
              <w:rPr>
                <w:rFonts w:ascii="Times New Roman" w:hAnsi="Times New Roman" w:eastAsia="宋体"/>
                <w:kern w:val="0"/>
                <w:sz w:val="24"/>
                <w:szCs w:val="24"/>
              </w:rPr>
              <w:t>，全市妇女组织覆盖3万余个，进一步扩大新兴领域妇联组织和工作覆盖面。</w:t>
            </w:r>
          </w:p>
        </w:tc>
      </w:tr>
      <w:tr w14:paraId="598D5FBA">
        <w:tblPrEx>
          <w:tblCellMar>
            <w:top w:w="0" w:type="dxa"/>
            <w:left w:w="108" w:type="dxa"/>
            <w:bottom w:w="0" w:type="dxa"/>
            <w:right w:w="108" w:type="dxa"/>
          </w:tblCellMar>
        </w:tblPrEx>
        <w:trPr>
          <w:trHeight w:val="2382" w:hRule="atLeast"/>
          <w:jc w:val="center"/>
        </w:trPr>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08FFC7">
            <w:pPr>
              <w:spacing w:line="360" w:lineRule="exact"/>
              <w:ind w:firstLine="0" w:firstLineChars="0"/>
              <w:jc w:val="center"/>
              <w:rPr>
                <w:rFonts w:ascii="Times New Roman" w:hAnsi="Times New Roman" w:eastAsia="宋体"/>
                <w:kern w:val="0"/>
                <w:sz w:val="24"/>
                <w:szCs w:val="24"/>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3BDEAA">
            <w:pPr>
              <w:spacing w:line="320" w:lineRule="exact"/>
              <w:ind w:firstLine="0" w:firstLineChars="0"/>
              <w:jc w:val="left"/>
              <w:rPr>
                <w:rFonts w:ascii="Times New Roman" w:hAnsi="Times New Roman" w:eastAsia="宋体"/>
                <w:kern w:val="0"/>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8DDC4">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C52“宁姐暖新”公益服务场次</w:t>
            </w:r>
          </w:p>
        </w:tc>
        <w:tc>
          <w:tcPr>
            <w:tcW w:w="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D5F335">
            <w:pPr>
              <w:pStyle w:val="41"/>
              <w:spacing w:line="320" w:lineRule="exact"/>
              <w:ind w:firstLine="0" w:firstLineChars="0"/>
              <w:jc w:val="center"/>
              <w:rPr>
                <w:rFonts w:ascii="Times New Roman" w:hAnsi="Times New Roman" w:cs="Times New Roman"/>
                <w:kern w:val="0"/>
                <w:sz w:val="24"/>
                <w:szCs w:val="24"/>
                <w:lang w:eastAsia="zh-CN"/>
              </w:rPr>
            </w:pPr>
            <w:r>
              <w:rPr>
                <w:rFonts w:hint="eastAsia" w:ascii="Times New Roman" w:hAnsi="Times New Roman" w:cs="Times New Roman"/>
                <w:kern w:val="0"/>
                <w:sz w:val="24"/>
                <w:szCs w:val="24"/>
                <w:lang w:eastAsia="zh-CN"/>
              </w:rPr>
              <w:t>2</w:t>
            </w:r>
          </w:p>
        </w:tc>
        <w:tc>
          <w:tcPr>
            <w:tcW w:w="992" w:type="dxa"/>
            <w:tcBorders>
              <w:top w:val="single" w:color="000000" w:sz="4" w:space="0"/>
              <w:left w:val="single" w:color="000000" w:sz="4" w:space="0"/>
              <w:bottom w:val="single" w:color="000000" w:sz="4" w:space="0"/>
              <w:right w:val="single" w:color="auto" w:sz="4" w:space="0"/>
            </w:tcBorders>
            <w:shd w:val="clear" w:color="auto" w:fill="FFFFFF"/>
            <w:noWrap/>
            <w:vAlign w:val="center"/>
          </w:tcPr>
          <w:p w14:paraId="1B3644EF">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w:t>
            </w:r>
            <w:r>
              <w:rPr>
                <w:rFonts w:hint="eastAsia" w:ascii="Times New Roman" w:hAnsi="Times New Roman" w:eastAsia="宋体"/>
                <w:kern w:val="0"/>
                <w:sz w:val="24"/>
                <w:szCs w:val="24"/>
                <w:lang w:val="en-US" w:eastAsia="zh-CN"/>
              </w:rPr>
              <w:t>16</w:t>
            </w:r>
            <w:r>
              <w:rPr>
                <w:rFonts w:ascii="Times New Roman" w:hAnsi="Times New Roman" w:eastAsia="宋体"/>
                <w:kern w:val="0"/>
                <w:sz w:val="24"/>
                <w:szCs w:val="24"/>
              </w:rPr>
              <w:t>场</w:t>
            </w:r>
          </w:p>
        </w:tc>
        <w:tc>
          <w:tcPr>
            <w:tcW w:w="184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58E48A0">
            <w:pPr>
              <w:pStyle w:val="41"/>
              <w:spacing w:before="78" w:line="320" w:lineRule="exact"/>
              <w:ind w:right="292" w:firstLine="0" w:firstLineChars="0"/>
              <w:rPr>
                <w:rFonts w:ascii="Times New Roman" w:hAnsi="Times New Roman" w:cs="Times New Roman"/>
                <w:kern w:val="0"/>
                <w:sz w:val="24"/>
                <w:szCs w:val="24"/>
              </w:rPr>
            </w:pPr>
          </w:p>
        </w:tc>
        <w:tc>
          <w:tcPr>
            <w:tcW w:w="2126" w:type="dxa"/>
            <w:tcBorders>
              <w:top w:val="single" w:color="000000" w:sz="4" w:space="0"/>
              <w:left w:val="single" w:color="auto" w:sz="4" w:space="0"/>
              <w:bottom w:val="single" w:color="000000" w:sz="4" w:space="0"/>
              <w:right w:val="single" w:color="000000" w:sz="4" w:space="0"/>
            </w:tcBorders>
            <w:shd w:val="clear" w:color="auto" w:fill="FFFFFF"/>
            <w:vAlign w:val="center"/>
          </w:tcPr>
          <w:p w14:paraId="1A9D1C52">
            <w:pPr>
              <w:pStyle w:val="41"/>
              <w:spacing w:before="78" w:line="320" w:lineRule="exact"/>
              <w:ind w:right="128" w:firstLine="0" w:firstLineChars="0"/>
              <w:rPr>
                <w:rFonts w:ascii="Times New Roman" w:hAnsi="Times New Roman" w:cs="Times New Roman"/>
                <w:kern w:val="0"/>
                <w:sz w:val="24"/>
                <w:szCs w:val="24"/>
                <w:lang w:eastAsia="zh-CN"/>
              </w:rPr>
            </w:pPr>
            <w:r>
              <w:rPr>
                <w:rFonts w:ascii="Times New Roman" w:hAnsi="Times New Roman" w:cs="Times New Roman"/>
                <w:kern w:val="0"/>
                <w:sz w:val="24"/>
                <w:szCs w:val="24"/>
              </w:rPr>
              <w:t>面向新就业女性群体，开展“宁姐暖新”公益服务</w:t>
            </w:r>
            <w:r>
              <w:rPr>
                <w:rFonts w:ascii="Times New Roman" w:hAnsi="Times New Roman" w:cs="Times New Roman"/>
                <w:kern w:val="0"/>
                <w:sz w:val="24"/>
                <w:szCs w:val="24"/>
                <w:lang w:eastAsia="zh-CN"/>
              </w:rPr>
              <w:t>不少于</w:t>
            </w:r>
            <w:r>
              <w:rPr>
                <w:rFonts w:hint="eastAsia" w:ascii="Times New Roman" w:hAnsi="Times New Roman" w:cs="Times New Roman"/>
                <w:kern w:val="0"/>
                <w:sz w:val="24"/>
                <w:szCs w:val="24"/>
                <w:lang w:val="en-US" w:eastAsia="zh-CN"/>
              </w:rPr>
              <w:t>16</w:t>
            </w:r>
            <w:r>
              <w:rPr>
                <w:rFonts w:ascii="Times New Roman" w:hAnsi="Times New Roman" w:cs="Times New Roman"/>
                <w:kern w:val="0"/>
                <w:sz w:val="24"/>
                <w:szCs w:val="24"/>
              </w:rPr>
              <w:t>场，得</w:t>
            </w:r>
            <w:r>
              <w:rPr>
                <w:rFonts w:ascii="Times New Roman" w:hAnsi="Times New Roman" w:cs="Times New Roman"/>
                <w:kern w:val="0"/>
                <w:sz w:val="24"/>
                <w:szCs w:val="24"/>
                <w:lang w:eastAsia="zh-CN"/>
              </w:rPr>
              <w:t>2</w:t>
            </w:r>
            <w:r>
              <w:rPr>
                <w:rFonts w:ascii="Times New Roman" w:hAnsi="Times New Roman" w:cs="Times New Roman"/>
                <w:kern w:val="0"/>
                <w:sz w:val="24"/>
                <w:szCs w:val="24"/>
              </w:rPr>
              <w:t>分</w:t>
            </w:r>
            <w:r>
              <w:rPr>
                <w:rFonts w:hint="eastAsia" w:ascii="Times New Roman" w:hAnsi="Times New Roman" w:cs="Times New Roman"/>
                <w:kern w:val="0"/>
                <w:sz w:val="24"/>
                <w:szCs w:val="24"/>
                <w:lang w:eastAsia="zh-CN"/>
              </w:rPr>
              <w:t>；</w:t>
            </w:r>
            <w:r>
              <w:rPr>
                <w:rFonts w:hint="eastAsia" w:ascii="Times New Roman" w:hAnsi="Times New Roman" w:cs="Times New Roman"/>
                <w:kern w:val="0"/>
                <w:sz w:val="24"/>
                <w:szCs w:val="24"/>
                <w:lang w:val="en-US" w:eastAsia="zh-CN"/>
              </w:rPr>
              <w:t>8</w:t>
            </w:r>
            <w:r>
              <w:rPr>
                <w:rFonts w:hint="eastAsia" w:ascii="Times New Roman" w:hAnsi="Times New Roman" w:cs="Times New Roman"/>
                <w:kern w:val="0"/>
                <w:sz w:val="24"/>
                <w:szCs w:val="24"/>
                <w:lang w:eastAsia="zh-CN"/>
              </w:rPr>
              <w:t>-1</w:t>
            </w:r>
            <w:r>
              <w:rPr>
                <w:rFonts w:hint="eastAsia" w:ascii="Times New Roman" w:hAnsi="Times New Roman" w:cs="Times New Roman"/>
                <w:kern w:val="0"/>
                <w:sz w:val="24"/>
                <w:szCs w:val="24"/>
                <w:lang w:val="en-US" w:eastAsia="zh-CN"/>
              </w:rPr>
              <w:t>6</w:t>
            </w:r>
            <w:r>
              <w:rPr>
                <w:rFonts w:hint="eastAsia" w:ascii="Times New Roman" w:hAnsi="Times New Roman" w:cs="Times New Roman"/>
                <w:kern w:val="0"/>
                <w:sz w:val="24"/>
                <w:szCs w:val="24"/>
                <w:lang w:eastAsia="zh-CN"/>
              </w:rPr>
              <w:t>场得1分；</w:t>
            </w:r>
            <w:r>
              <w:rPr>
                <w:rFonts w:hint="eastAsia" w:ascii="Times New Roman" w:hAnsi="Times New Roman" w:cs="Times New Roman"/>
                <w:kern w:val="0"/>
                <w:sz w:val="24"/>
                <w:szCs w:val="24"/>
                <w:lang w:val="en-US" w:eastAsia="zh-CN"/>
              </w:rPr>
              <w:t>8</w:t>
            </w:r>
            <w:r>
              <w:rPr>
                <w:rFonts w:hint="eastAsia" w:ascii="Times New Roman" w:hAnsi="Times New Roman" w:cs="Times New Roman"/>
                <w:kern w:val="0"/>
                <w:sz w:val="24"/>
                <w:szCs w:val="24"/>
                <w:lang w:eastAsia="zh-CN"/>
              </w:rPr>
              <w:t>场以下不得分。</w:t>
            </w: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F11D4">
            <w:pPr>
              <w:pStyle w:val="41"/>
              <w:spacing w:line="320" w:lineRule="exact"/>
              <w:ind w:firstLine="0" w:firstLineChars="0"/>
              <w:jc w:val="center"/>
              <w:rPr>
                <w:rFonts w:ascii="Times New Roman" w:hAnsi="Times New Roman" w:cs="Times New Roman"/>
                <w:kern w:val="0"/>
                <w:sz w:val="24"/>
                <w:szCs w:val="24"/>
                <w:lang w:eastAsia="zh-CN"/>
              </w:rPr>
            </w:pPr>
            <w:r>
              <w:rPr>
                <w:rFonts w:ascii="Times New Roman" w:hAnsi="Times New Roman" w:cs="Times New Roman"/>
                <w:kern w:val="0"/>
                <w:sz w:val="24"/>
                <w:szCs w:val="24"/>
                <w:lang w:eastAsia="zh-CN"/>
              </w:rPr>
              <w:t>2</w:t>
            </w:r>
          </w:p>
        </w:tc>
        <w:tc>
          <w:tcPr>
            <w:tcW w:w="4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3E697">
            <w:pPr>
              <w:spacing w:line="320" w:lineRule="exact"/>
              <w:ind w:firstLine="0" w:firstLineChars="0"/>
              <w:jc w:val="left"/>
              <w:textAlignment w:val="center"/>
              <w:rPr>
                <w:rFonts w:ascii="Times New Roman" w:hAnsi="Times New Roman" w:eastAsia="宋体"/>
                <w:kern w:val="0"/>
                <w:sz w:val="24"/>
                <w:szCs w:val="24"/>
              </w:rPr>
            </w:pPr>
            <w:r>
              <w:rPr>
                <w:rFonts w:ascii="Times New Roman" w:hAnsi="Times New Roman" w:eastAsia="宋体"/>
                <w:kern w:val="0"/>
                <w:sz w:val="24"/>
                <w:szCs w:val="24"/>
              </w:rPr>
              <w:t>面向网约车女司机、女骑手、女快递员等新就业女性群体，累计开展“宁姐暖新”公益服务活动60场</w:t>
            </w:r>
            <w:r>
              <w:rPr>
                <w:rFonts w:hint="eastAsia" w:ascii="Times New Roman" w:hAnsi="Times New Roman" w:eastAsia="宋体"/>
                <w:kern w:val="0"/>
                <w:sz w:val="24"/>
                <w:szCs w:val="24"/>
              </w:rPr>
              <w:t>（含市级专项资金使用绩效）</w:t>
            </w:r>
            <w:r>
              <w:rPr>
                <w:rFonts w:ascii="Times New Roman" w:hAnsi="Times New Roman" w:eastAsia="宋体"/>
                <w:kern w:val="0"/>
                <w:sz w:val="24"/>
                <w:szCs w:val="24"/>
              </w:rPr>
              <w:t>，发放暖心包1600余个</w:t>
            </w:r>
            <w:r>
              <w:rPr>
                <w:rFonts w:hint="eastAsia" w:ascii="Times New Roman" w:hAnsi="Times New Roman" w:eastAsia="宋体"/>
                <w:kern w:val="0"/>
                <w:sz w:val="24"/>
                <w:szCs w:val="24"/>
              </w:rPr>
              <w:t>（含市级专项资金使用绩效）</w:t>
            </w:r>
            <w:r>
              <w:rPr>
                <w:rFonts w:ascii="Times New Roman" w:hAnsi="Times New Roman" w:eastAsia="宋体"/>
                <w:kern w:val="0"/>
                <w:sz w:val="24"/>
                <w:szCs w:val="24"/>
              </w:rPr>
              <w:t>。</w:t>
            </w:r>
          </w:p>
        </w:tc>
      </w:tr>
      <w:tr w14:paraId="062F917F">
        <w:tblPrEx>
          <w:tblCellMar>
            <w:top w:w="0" w:type="dxa"/>
            <w:left w:w="108" w:type="dxa"/>
            <w:bottom w:w="0" w:type="dxa"/>
            <w:right w:w="108" w:type="dxa"/>
          </w:tblCellMar>
        </w:tblPrEx>
        <w:trPr>
          <w:trHeight w:val="675" w:hRule="atLeast"/>
          <w:jc w:val="center"/>
        </w:trPr>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0B17C4">
            <w:pPr>
              <w:spacing w:line="320" w:lineRule="exact"/>
              <w:ind w:firstLine="0" w:firstLineChars="0"/>
              <w:jc w:val="left"/>
              <w:rPr>
                <w:rFonts w:ascii="Times New Roman" w:hAnsi="Times New Roman"/>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AE7F40">
            <w:pPr>
              <w:spacing w:line="320" w:lineRule="exact"/>
              <w:ind w:firstLine="0" w:firstLineChars="0"/>
              <w:jc w:val="left"/>
              <w:rPr>
                <w:rFonts w:ascii="Times New Roman" w:hAnsi="Times New Roman"/>
              </w:rPr>
            </w:pP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75022">
            <w:pPr>
              <w:spacing w:line="320" w:lineRule="exact"/>
              <w:ind w:firstLine="0" w:firstLineChars="0"/>
              <w:jc w:val="left"/>
              <w:rPr>
                <w:rFonts w:ascii="Times New Roman" w:hAnsi="Times New Roman" w:eastAsia="宋体"/>
                <w:kern w:val="0"/>
                <w:sz w:val="24"/>
                <w:szCs w:val="24"/>
              </w:rPr>
            </w:pPr>
            <w:r>
              <w:rPr>
                <w:rFonts w:ascii="Times New Roman" w:hAnsi="Times New Roman" w:eastAsia="宋体"/>
                <w:kern w:val="0"/>
                <w:sz w:val="24"/>
                <w:szCs w:val="24"/>
              </w:rPr>
              <w:t>C53组织开展各类妇联执委、妇女组织和团体交流活动</w:t>
            </w:r>
          </w:p>
        </w:tc>
        <w:tc>
          <w:tcPr>
            <w:tcW w:w="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12DCA3">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53B3A">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≥4场</w:t>
            </w:r>
          </w:p>
        </w:tc>
        <w:tc>
          <w:tcPr>
            <w:tcW w:w="1843" w:type="dxa"/>
            <w:tcBorders>
              <w:top w:val="single" w:color="auto" w:sz="4" w:space="0"/>
              <w:left w:val="single" w:color="000000" w:sz="4" w:space="0"/>
              <w:bottom w:val="single" w:color="000000" w:sz="4" w:space="0"/>
              <w:right w:val="single" w:color="000000" w:sz="4" w:space="0"/>
            </w:tcBorders>
            <w:shd w:val="clear" w:color="auto" w:fill="FFFFFF"/>
            <w:vAlign w:val="center"/>
          </w:tcPr>
          <w:p w14:paraId="5B35763A">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主要考核开展执委代表履职“五薇”行动，常态化联系妇女代表妇联执委的情况</w:t>
            </w:r>
          </w:p>
        </w:tc>
        <w:tc>
          <w:tcPr>
            <w:tcW w:w="2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2931F">
            <w:pPr>
              <w:spacing w:line="320" w:lineRule="exact"/>
              <w:ind w:firstLine="0" w:firstLineChars="0"/>
              <w:jc w:val="left"/>
              <w:textAlignment w:val="center"/>
              <w:rPr>
                <w:rFonts w:ascii="Times New Roman" w:hAnsi="Times New Roman" w:eastAsia="宋体"/>
                <w:kern w:val="0"/>
                <w:sz w:val="24"/>
                <w:szCs w:val="24"/>
              </w:rPr>
            </w:pPr>
            <w:r>
              <w:rPr>
                <w:rFonts w:ascii="Times New Roman" w:hAnsi="Times New Roman" w:eastAsia="宋体"/>
                <w:kern w:val="0"/>
                <w:sz w:val="24"/>
                <w:szCs w:val="24"/>
              </w:rPr>
              <w:t>开展各类妇联执委、妇女组织和团体交流活动不少于4场，少一场扣0.25分</w:t>
            </w: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19524">
            <w:pPr>
              <w:spacing w:line="320" w:lineRule="exact"/>
              <w:ind w:firstLine="0" w:firstLineChars="0"/>
              <w:jc w:val="left"/>
              <w:textAlignment w:val="center"/>
              <w:rPr>
                <w:rFonts w:ascii="Times New Roman" w:hAnsi="Times New Roman" w:eastAsia="宋体"/>
                <w:kern w:val="0"/>
                <w:sz w:val="24"/>
                <w:szCs w:val="24"/>
              </w:rPr>
            </w:pPr>
            <w:r>
              <w:rPr>
                <w:rFonts w:ascii="Times New Roman" w:hAnsi="Times New Roman" w:eastAsia="宋体"/>
                <w:kern w:val="0"/>
                <w:sz w:val="24"/>
                <w:szCs w:val="24"/>
              </w:rPr>
              <w:t>1</w:t>
            </w:r>
          </w:p>
        </w:tc>
        <w:tc>
          <w:tcPr>
            <w:tcW w:w="4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D7432">
            <w:pPr>
              <w:spacing w:line="320" w:lineRule="exact"/>
              <w:ind w:firstLine="0" w:firstLineChars="0"/>
              <w:jc w:val="left"/>
              <w:textAlignment w:val="center"/>
              <w:rPr>
                <w:rFonts w:ascii="Times New Roman" w:hAnsi="Times New Roman" w:eastAsia="宋体"/>
                <w:kern w:val="0"/>
                <w:sz w:val="24"/>
                <w:szCs w:val="24"/>
              </w:rPr>
            </w:pPr>
            <w:r>
              <w:rPr>
                <w:rFonts w:ascii="Times New Roman" w:hAnsi="Times New Roman" w:eastAsia="宋体"/>
                <w:kern w:val="0"/>
                <w:sz w:val="24"/>
                <w:szCs w:val="24"/>
              </w:rPr>
              <w:t>开展“妇联执委联动履职”等执委小组“五薇”行动、政协妇联界别组活动6场次，全面提升服务力和凝聚力。</w:t>
            </w:r>
          </w:p>
        </w:tc>
      </w:tr>
      <w:tr w14:paraId="3AC7DD63">
        <w:tblPrEx>
          <w:tblCellMar>
            <w:top w:w="0" w:type="dxa"/>
            <w:left w:w="108" w:type="dxa"/>
            <w:bottom w:w="0" w:type="dxa"/>
            <w:right w:w="108" w:type="dxa"/>
          </w:tblCellMar>
        </w:tblPrEx>
        <w:trPr>
          <w:trHeight w:val="955" w:hRule="atLeast"/>
          <w:jc w:val="center"/>
        </w:trPr>
        <w:tc>
          <w:tcPr>
            <w:tcW w:w="1324" w:type="dxa"/>
            <w:vMerge w:val="continue"/>
            <w:tcBorders>
              <w:left w:val="single" w:color="000000" w:sz="4" w:space="0"/>
              <w:bottom w:val="single" w:color="000000" w:sz="4" w:space="0"/>
              <w:right w:val="single" w:color="000000" w:sz="4" w:space="0"/>
            </w:tcBorders>
            <w:shd w:val="clear" w:color="auto" w:fill="FFFFFF"/>
            <w:vAlign w:val="center"/>
          </w:tcPr>
          <w:p w14:paraId="07F5EB2A">
            <w:pPr>
              <w:spacing w:line="320" w:lineRule="exact"/>
              <w:ind w:firstLine="0" w:firstLineChars="0"/>
              <w:jc w:val="left"/>
              <w:textAlignment w:val="center"/>
              <w:rPr>
                <w:rFonts w:ascii="Times New Roman" w:hAnsi="Times New Roman"/>
              </w:rPr>
            </w:pPr>
          </w:p>
        </w:tc>
        <w:tc>
          <w:tcPr>
            <w:tcW w:w="1187" w:type="dxa"/>
            <w:vMerge w:val="continue"/>
            <w:tcBorders>
              <w:left w:val="single" w:color="000000" w:sz="4" w:space="0"/>
              <w:bottom w:val="single" w:color="000000" w:sz="4" w:space="0"/>
              <w:right w:val="single" w:color="000000" w:sz="4" w:space="0"/>
            </w:tcBorders>
            <w:shd w:val="clear" w:color="auto" w:fill="FFFFFF"/>
            <w:vAlign w:val="center"/>
          </w:tcPr>
          <w:p w14:paraId="07779E75">
            <w:pPr>
              <w:spacing w:line="320" w:lineRule="exact"/>
              <w:ind w:firstLine="0" w:firstLineChars="0"/>
              <w:jc w:val="left"/>
              <w:textAlignment w:val="center"/>
              <w:rPr>
                <w:rFonts w:ascii="Times New Roman" w:hAnsi="Times New Roman"/>
              </w:rPr>
            </w:pP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D0964">
            <w:pPr>
              <w:spacing w:line="320" w:lineRule="exact"/>
              <w:ind w:firstLine="0" w:firstLineChars="0"/>
              <w:jc w:val="left"/>
              <w:textAlignment w:val="center"/>
              <w:rPr>
                <w:rFonts w:ascii="Times New Roman" w:hAnsi="Times New Roman" w:eastAsia="宋体"/>
                <w:kern w:val="0"/>
                <w:sz w:val="24"/>
                <w:szCs w:val="24"/>
              </w:rPr>
            </w:pPr>
            <w:r>
              <w:rPr>
                <w:rFonts w:ascii="Times New Roman" w:hAnsi="Times New Roman" w:eastAsia="宋体"/>
                <w:kern w:val="0"/>
                <w:sz w:val="24"/>
                <w:szCs w:val="24"/>
              </w:rPr>
              <w:t>C54参加培训人数</w:t>
            </w:r>
          </w:p>
        </w:tc>
        <w:tc>
          <w:tcPr>
            <w:tcW w:w="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894A6D">
            <w:pPr>
              <w:spacing w:line="320" w:lineRule="exact"/>
              <w:ind w:firstLine="0" w:firstLineChars="0"/>
              <w:jc w:val="center"/>
              <w:textAlignment w:val="center"/>
              <w:rPr>
                <w:rFonts w:ascii="Times New Roman" w:hAnsi="Times New Roman" w:eastAsia="宋体"/>
                <w:kern w:val="0"/>
                <w:sz w:val="24"/>
                <w:szCs w:val="24"/>
              </w:rPr>
            </w:pPr>
            <w:r>
              <w:rPr>
                <w:rFonts w:hint="eastAsia" w:ascii="Times New Roman" w:hAnsi="Times New Roman" w:eastAsia="宋体"/>
                <w:kern w:val="0"/>
                <w:sz w:val="24"/>
                <w:szCs w:val="24"/>
              </w:rPr>
              <w:t>2</w:t>
            </w:r>
          </w:p>
        </w:tc>
        <w:tc>
          <w:tcPr>
            <w:tcW w:w="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42C7E">
            <w:pPr>
              <w:spacing w:line="320" w:lineRule="exact"/>
              <w:ind w:firstLine="0" w:firstLineChars="0"/>
              <w:jc w:val="left"/>
              <w:textAlignment w:val="center"/>
              <w:rPr>
                <w:rFonts w:ascii="Times New Roman" w:hAnsi="Times New Roman" w:eastAsia="宋体"/>
                <w:kern w:val="0"/>
                <w:sz w:val="24"/>
                <w:szCs w:val="24"/>
              </w:rPr>
            </w:pPr>
            <w:r>
              <w:rPr>
                <w:rFonts w:ascii="Times New Roman" w:hAnsi="Times New Roman" w:eastAsia="宋体"/>
                <w:kern w:val="0"/>
                <w:sz w:val="24"/>
                <w:szCs w:val="24"/>
              </w:rPr>
              <w:t>≥230人次</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254CF">
            <w:pPr>
              <w:spacing w:line="320" w:lineRule="exact"/>
              <w:ind w:firstLine="0" w:firstLineChars="0"/>
              <w:jc w:val="left"/>
              <w:textAlignment w:val="center"/>
              <w:rPr>
                <w:rFonts w:ascii="Times New Roman" w:hAnsi="Times New Roman" w:eastAsia="宋体"/>
                <w:kern w:val="0"/>
                <w:sz w:val="24"/>
                <w:szCs w:val="24"/>
              </w:rPr>
            </w:pPr>
            <w:r>
              <w:rPr>
                <w:rFonts w:ascii="Times New Roman" w:hAnsi="Times New Roman" w:eastAsia="宋体"/>
                <w:kern w:val="0"/>
                <w:sz w:val="24"/>
                <w:szCs w:val="24"/>
              </w:rPr>
              <w:t>主要考核深化基层妇联领头雁培训计划，强化干部队伍建设的情况</w:t>
            </w:r>
          </w:p>
        </w:tc>
        <w:tc>
          <w:tcPr>
            <w:tcW w:w="2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901B0">
            <w:pPr>
              <w:numPr>
                <w:ilvl w:val="0"/>
                <w:numId w:val="2"/>
              </w:num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参加培训人数达230人得</w:t>
            </w:r>
            <w:r>
              <w:rPr>
                <w:rFonts w:hint="eastAsia" w:ascii="Times New Roman" w:hAnsi="Times New Roman" w:eastAsia="宋体"/>
                <w:kern w:val="0"/>
                <w:sz w:val="24"/>
                <w:szCs w:val="24"/>
              </w:rPr>
              <w:t>1</w:t>
            </w:r>
            <w:r>
              <w:rPr>
                <w:rFonts w:ascii="Times New Roman" w:hAnsi="Times New Roman" w:eastAsia="宋体"/>
                <w:kern w:val="0"/>
                <w:sz w:val="24"/>
                <w:szCs w:val="24"/>
              </w:rPr>
              <w:t>分；</w:t>
            </w:r>
          </w:p>
          <w:p w14:paraId="2F00F3AB">
            <w:pPr>
              <w:spacing w:line="320" w:lineRule="exact"/>
              <w:ind w:firstLine="0" w:firstLineChars="0"/>
              <w:jc w:val="left"/>
              <w:textAlignment w:val="center"/>
              <w:rPr>
                <w:rFonts w:ascii="Times New Roman" w:hAnsi="Times New Roman" w:eastAsia="宋体"/>
                <w:kern w:val="0"/>
                <w:sz w:val="24"/>
                <w:szCs w:val="24"/>
              </w:rPr>
            </w:pPr>
            <w:r>
              <w:rPr>
                <w:rFonts w:ascii="Times New Roman" w:hAnsi="Times New Roman" w:eastAsia="宋体"/>
                <w:kern w:val="0"/>
                <w:sz w:val="24"/>
                <w:szCs w:val="24"/>
              </w:rPr>
              <w:t>2.课程内容精准，注重培训效果得</w:t>
            </w:r>
            <w:r>
              <w:rPr>
                <w:rFonts w:hint="eastAsia" w:ascii="Times New Roman" w:hAnsi="Times New Roman" w:eastAsia="宋体"/>
                <w:kern w:val="0"/>
                <w:sz w:val="24"/>
                <w:szCs w:val="24"/>
              </w:rPr>
              <w:t>1</w:t>
            </w:r>
            <w:r>
              <w:rPr>
                <w:rFonts w:ascii="Times New Roman" w:hAnsi="Times New Roman" w:eastAsia="宋体"/>
                <w:kern w:val="0"/>
                <w:sz w:val="24"/>
                <w:szCs w:val="24"/>
              </w:rPr>
              <w:t>分</w:t>
            </w: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9561C">
            <w:pPr>
              <w:spacing w:line="320" w:lineRule="exact"/>
              <w:ind w:firstLine="0" w:firstLineChars="0"/>
              <w:jc w:val="left"/>
              <w:textAlignment w:val="center"/>
              <w:rPr>
                <w:rFonts w:ascii="Times New Roman" w:hAnsi="Times New Roman" w:eastAsia="宋体"/>
                <w:kern w:val="0"/>
                <w:sz w:val="24"/>
                <w:szCs w:val="24"/>
              </w:rPr>
            </w:pPr>
            <w:r>
              <w:rPr>
                <w:rFonts w:hint="eastAsia" w:ascii="Times New Roman" w:hAnsi="Times New Roman" w:eastAsia="宋体"/>
                <w:kern w:val="0"/>
                <w:sz w:val="24"/>
                <w:szCs w:val="24"/>
              </w:rPr>
              <w:t>1.5</w:t>
            </w:r>
          </w:p>
        </w:tc>
        <w:tc>
          <w:tcPr>
            <w:tcW w:w="4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840F6">
            <w:pPr>
              <w:numPr>
                <w:ilvl w:val="0"/>
                <w:numId w:val="3"/>
              </w:numPr>
              <w:spacing w:line="320" w:lineRule="exact"/>
              <w:ind w:firstLine="0" w:firstLineChars="0"/>
              <w:jc w:val="left"/>
              <w:textAlignment w:val="center"/>
              <w:rPr>
                <w:rFonts w:ascii="Times New Roman" w:hAnsi="Times New Roman" w:eastAsia="宋体"/>
                <w:kern w:val="0"/>
                <w:sz w:val="24"/>
                <w:szCs w:val="24"/>
              </w:rPr>
            </w:pPr>
            <w:r>
              <w:rPr>
                <w:rFonts w:ascii="Times New Roman" w:hAnsi="Times New Roman" w:eastAsia="宋体"/>
                <w:kern w:val="0"/>
                <w:sz w:val="24"/>
                <w:szCs w:val="24"/>
              </w:rPr>
              <w:t>全年共举办全市妇联系统干部能力提升培训、全市新兴领域妇联主席培训、《南京市妇女权益保障条例》解读培训、婚姻家庭纠纷人民调解专题培训、全市妇联系统宣传思想文化专题培训等五类培训</w:t>
            </w:r>
            <w:r>
              <w:rPr>
                <w:rFonts w:hint="eastAsia" w:ascii="Times New Roman" w:hAnsi="Times New Roman" w:eastAsia="宋体"/>
                <w:kern w:val="0"/>
                <w:sz w:val="24"/>
                <w:szCs w:val="24"/>
              </w:rPr>
              <w:t>，</w:t>
            </w:r>
            <w:r>
              <w:rPr>
                <w:rFonts w:ascii="Times New Roman" w:hAnsi="Times New Roman" w:eastAsia="宋体"/>
                <w:kern w:val="0"/>
                <w:sz w:val="24"/>
                <w:szCs w:val="24"/>
              </w:rPr>
              <w:t>全年共培训277人次</w:t>
            </w:r>
            <w:r>
              <w:rPr>
                <w:rFonts w:hint="eastAsia" w:ascii="Times New Roman" w:hAnsi="Times New Roman" w:eastAsia="宋体"/>
                <w:kern w:val="0"/>
                <w:sz w:val="24"/>
                <w:szCs w:val="24"/>
              </w:rPr>
              <w:t>；</w:t>
            </w:r>
          </w:p>
          <w:p w14:paraId="0A2295AC">
            <w:pPr>
              <w:spacing w:line="320" w:lineRule="exact"/>
              <w:ind w:firstLine="0" w:firstLineChars="0"/>
              <w:jc w:val="left"/>
              <w:textAlignment w:val="center"/>
              <w:rPr>
                <w:rFonts w:ascii="Times New Roman" w:hAnsi="Times New Roman" w:eastAsia="宋体"/>
                <w:kern w:val="0"/>
                <w:sz w:val="24"/>
                <w:szCs w:val="24"/>
              </w:rPr>
            </w:pPr>
            <w:r>
              <w:rPr>
                <w:rFonts w:hint="eastAsia" w:ascii="Times New Roman" w:hAnsi="Times New Roman" w:eastAsia="宋体"/>
                <w:kern w:val="0"/>
                <w:sz w:val="24"/>
                <w:szCs w:val="24"/>
              </w:rPr>
              <w:t>2.培训</w:t>
            </w:r>
            <w:r>
              <w:rPr>
                <w:rFonts w:ascii="Times New Roman" w:hAnsi="Times New Roman" w:eastAsia="宋体"/>
                <w:kern w:val="0"/>
                <w:sz w:val="24"/>
                <w:szCs w:val="24"/>
              </w:rPr>
              <w:t>紧扣妇联工作特点和需求，课程设置科学合理，涵盖政治理论、法规解读、妇联工作实务、意识形态等方面内容，培训形式多样，精准度高、针对性强，为广大妇联干部提升理论素养、提高业务水平、改进工作方法、创新工作载体等提供了有力的培训和指导，进一步提高了全市妇联系统妇联干部履职的能力和水平。</w:t>
            </w:r>
            <w:r>
              <w:rPr>
                <w:rFonts w:hint="eastAsia" w:ascii="Times New Roman" w:hAnsi="Times New Roman" w:eastAsia="宋体"/>
                <w:kern w:val="0"/>
                <w:sz w:val="24"/>
                <w:szCs w:val="24"/>
              </w:rPr>
              <w:t>考虑到</w:t>
            </w:r>
            <w:r>
              <w:rPr>
                <w:rFonts w:hint="eastAsia" w:ascii="Times New Roman" w:hAnsi="Times New Roman" w:eastAsia="宋体"/>
                <w:kern w:val="0"/>
                <w:sz w:val="24"/>
                <w:szCs w:val="24"/>
                <w:lang w:val="en-US" w:eastAsia="zh-CN"/>
              </w:rPr>
              <w:t>受经费预算有限影响，</w:t>
            </w:r>
            <w:r>
              <w:rPr>
                <w:rFonts w:hint="eastAsia" w:ascii="Times New Roman" w:hAnsi="Times New Roman" w:eastAsia="宋体"/>
                <w:kern w:val="0"/>
                <w:sz w:val="24"/>
                <w:szCs w:val="24"/>
              </w:rPr>
              <w:t>培训</w:t>
            </w:r>
            <w:r>
              <w:rPr>
                <w:rFonts w:hint="eastAsia" w:ascii="Times New Roman" w:hAnsi="Times New Roman" w:eastAsia="宋体"/>
                <w:kern w:val="0"/>
                <w:sz w:val="24"/>
                <w:szCs w:val="24"/>
                <w:lang w:val="en-US" w:eastAsia="zh-CN"/>
              </w:rPr>
              <w:t>规模偏小，培训覆盖面和培训质效受到制约</w:t>
            </w:r>
            <w:r>
              <w:rPr>
                <w:rFonts w:hint="eastAsia" w:ascii="Times New Roman" w:hAnsi="Times New Roman" w:eastAsia="宋体"/>
                <w:kern w:val="0"/>
                <w:sz w:val="24"/>
                <w:szCs w:val="24"/>
              </w:rPr>
              <w:t>，酌情扣0.5分。</w:t>
            </w:r>
          </w:p>
        </w:tc>
      </w:tr>
      <w:tr w14:paraId="46FFEB05">
        <w:tblPrEx>
          <w:tblCellMar>
            <w:top w:w="0" w:type="dxa"/>
            <w:left w:w="108" w:type="dxa"/>
            <w:bottom w:w="0" w:type="dxa"/>
            <w:right w:w="108" w:type="dxa"/>
          </w:tblCellMar>
        </w:tblPrEx>
        <w:trPr>
          <w:trHeight w:val="680" w:hRule="atLeast"/>
          <w:jc w:val="center"/>
        </w:trPr>
        <w:tc>
          <w:tcPr>
            <w:tcW w:w="13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DE9ED0">
            <w:pPr>
              <w:spacing w:line="36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D履职绩效（30分）</w:t>
            </w:r>
          </w:p>
        </w:tc>
        <w:tc>
          <w:tcPr>
            <w:tcW w:w="11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097ED7">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D1社会效益（20分）</w:t>
            </w: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63155">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D11 女性政治思想引领作用增强</w:t>
            </w:r>
          </w:p>
        </w:tc>
        <w:tc>
          <w:tcPr>
            <w:tcW w:w="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B9BD24">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10</w:t>
            </w:r>
          </w:p>
        </w:tc>
        <w:tc>
          <w:tcPr>
            <w:tcW w:w="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E26E5">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增强</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F2F6D">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主要考核通过各种形式不断增强对女性的思想政治引领示范作用情况</w:t>
            </w:r>
          </w:p>
        </w:tc>
        <w:tc>
          <w:tcPr>
            <w:tcW w:w="2126" w:type="dxa"/>
            <w:tcBorders>
              <w:top w:val="single" w:color="000000" w:sz="4" w:space="0"/>
              <w:left w:val="single" w:color="000000" w:sz="4" w:space="0"/>
              <w:bottom w:val="single" w:color="000000" w:sz="4" w:space="0"/>
              <w:right w:val="single" w:color="000000" w:sz="4" w:space="0"/>
            </w:tcBorders>
            <w:vAlign w:val="center"/>
          </w:tcPr>
          <w:p w14:paraId="4F548A98">
            <w:pPr>
              <w:numPr>
                <w:ilvl w:val="0"/>
                <w:numId w:val="4"/>
              </w:num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深入学习宣传贯彻党的二十大和二十届二中、三中、四中全会精神，习近平总书记一系列重要讲话重要论述重要指示精神，得</w:t>
            </w:r>
            <w:r>
              <w:rPr>
                <w:rFonts w:hint="eastAsia" w:ascii="Times New Roman" w:hAnsi="Times New Roman" w:eastAsia="宋体"/>
                <w:kern w:val="0"/>
                <w:sz w:val="24"/>
                <w:szCs w:val="24"/>
              </w:rPr>
              <w:t>5</w:t>
            </w:r>
            <w:r>
              <w:rPr>
                <w:rFonts w:ascii="Times New Roman" w:hAnsi="Times New Roman" w:eastAsia="宋体"/>
                <w:kern w:val="0"/>
                <w:sz w:val="24"/>
                <w:szCs w:val="24"/>
              </w:rPr>
              <w:t>分；</w:t>
            </w:r>
          </w:p>
          <w:p w14:paraId="5292BE99">
            <w:pPr>
              <w:numPr>
                <w:ilvl w:val="0"/>
                <w:numId w:val="4"/>
              </w:num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利用节日节点等契机向全社会宣传优秀女性典型得</w:t>
            </w:r>
            <w:r>
              <w:rPr>
                <w:rFonts w:hint="eastAsia" w:ascii="Times New Roman" w:hAnsi="Times New Roman" w:eastAsia="宋体"/>
                <w:kern w:val="0"/>
                <w:sz w:val="24"/>
                <w:szCs w:val="24"/>
              </w:rPr>
              <w:t>3</w:t>
            </w:r>
            <w:r>
              <w:rPr>
                <w:rFonts w:ascii="Times New Roman" w:hAnsi="Times New Roman" w:eastAsia="宋体"/>
                <w:kern w:val="0"/>
                <w:sz w:val="24"/>
                <w:szCs w:val="24"/>
              </w:rPr>
              <w:t>分；</w:t>
            </w:r>
          </w:p>
          <w:p w14:paraId="6C2F3076">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3.线上线下开展红色巾帼志愿宣讲活动不少于3000场次，得</w:t>
            </w:r>
            <w:r>
              <w:rPr>
                <w:rFonts w:hint="eastAsia" w:ascii="Times New Roman" w:hAnsi="Times New Roman" w:eastAsia="宋体"/>
                <w:kern w:val="0"/>
                <w:sz w:val="24"/>
                <w:szCs w:val="24"/>
              </w:rPr>
              <w:t>2</w:t>
            </w:r>
            <w:r>
              <w:rPr>
                <w:rFonts w:ascii="Times New Roman" w:hAnsi="Times New Roman" w:eastAsia="宋体"/>
                <w:kern w:val="0"/>
                <w:sz w:val="24"/>
                <w:szCs w:val="24"/>
              </w:rPr>
              <w:t>分。</w:t>
            </w:r>
          </w:p>
        </w:tc>
        <w:tc>
          <w:tcPr>
            <w:tcW w:w="824" w:type="dxa"/>
            <w:tcBorders>
              <w:top w:val="single" w:color="000000" w:sz="4" w:space="0"/>
              <w:left w:val="single" w:color="000000" w:sz="4" w:space="0"/>
              <w:bottom w:val="single" w:color="000000" w:sz="4" w:space="0"/>
              <w:right w:val="single" w:color="000000" w:sz="4" w:space="0"/>
            </w:tcBorders>
            <w:vAlign w:val="center"/>
          </w:tcPr>
          <w:p w14:paraId="5CC10E88">
            <w:pPr>
              <w:spacing w:line="320" w:lineRule="exact"/>
              <w:ind w:firstLine="0" w:firstLineChars="0"/>
              <w:jc w:val="center"/>
              <w:rPr>
                <w:rFonts w:ascii="Times New Roman" w:hAnsi="Times New Roman" w:eastAsia="宋体"/>
                <w:kern w:val="0"/>
                <w:sz w:val="24"/>
                <w:szCs w:val="24"/>
              </w:rPr>
            </w:pPr>
            <w:r>
              <w:rPr>
                <w:rFonts w:hint="eastAsia" w:ascii="Times New Roman" w:hAnsi="Times New Roman" w:eastAsia="宋体"/>
                <w:kern w:val="0"/>
                <w:sz w:val="24"/>
                <w:szCs w:val="24"/>
              </w:rPr>
              <w:t>10</w:t>
            </w:r>
          </w:p>
        </w:tc>
        <w:tc>
          <w:tcPr>
            <w:tcW w:w="4185" w:type="dxa"/>
            <w:tcBorders>
              <w:top w:val="single" w:color="000000" w:sz="4" w:space="0"/>
              <w:left w:val="single" w:color="000000" w:sz="4" w:space="0"/>
              <w:bottom w:val="single" w:color="000000" w:sz="4" w:space="0"/>
              <w:right w:val="single" w:color="000000" w:sz="4" w:space="0"/>
            </w:tcBorders>
            <w:vAlign w:val="center"/>
          </w:tcPr>
          <w:p w14:paraId="0F69A25D">
            <w:pPr>
              <w:spacing w:line="31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2025年，不断强化妇女思想政治引领，以正能量凝聚思想共识，以主旋律汇聚巾帼力量，荣膺2025年度《中国妇女报》宣传舆论阵地建设先进单位。</w:t>
            </w:r>
          </w:p>
          <w:p w14:paraId="4190C203">
            <w:pPr>
              <w:spacing w:line="31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1.深入学习宣传贯彻党的二十大和二十届二中、三中、四中全会精神。深入宣传贯彻习近平总书记关于妇女儿童和妇联工作以及对江苏工作重要讲话重要指示精神等，宣传全市各级妇联党员干部及妇女群众学习贯彻党的二十大和二十届二中、三中、四中全会精神的实际行动，线上线下全矩阵多方位宣传宣讲，团结引领全市妇女听党话跟党走。</w:t>
            </w:r>
          </w:p>
          <w:p w14:paraId="44653811">
            <w:pPr>
              <w:spacing w:line="31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2.开展“礼遇芳华”活动，邀请市委主要领导、分管领导走访慰问一线优秀妇女代表，配套送服务、送关爱、送温暖系列举措，既让女性典型感受到组织关怀，又通过场景化传播放大社会影响力，以榜样力量激励全市女性见贤思齐、追梦奋斗。</w:t>
            </w:r>
          </w:p>
          <w:p w14:paraId="01908D4A">
            <w:pPr>
              <w:spacing w:line="31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3.开展“宁姐说”巾帼大宣讲。发布全市12条“行走的宣讲”路线、开设“宁姐说・她课堂”专栏等。宣讲人从巾帼宣讲团成员到AI数字人，内容从红色宣讲到文化传承、普法课堂，全年全市各级妇联组织线上线下开展宣讲3682场次，线上线下受众超20万人次。</w:t>
            </w:r>
          </w:p>
        </w:tc>
      </w:tr>
      <w:tr w14:paraId="3D9FBD61">
        <w:tblPrEx>
          <w:tblCellMar>
            <w:top w:w="0" w:type="dxa"/>
            <w:left w:w="108" w:type="dxa"/>
            <w:bottom w:w="0" w:type="dxa"/>
            <w:right w:w="108" w:type="dxa"/>
          </w:tblCellMar>
        </w:tblPrEx>
        <w:trPr>
          <w:trHeight w:val="302" w:hRule="atLeast"/>
          <w:jc w:val="center"/>
        </w:trPr>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CB9789">
            <w:pPr>
              <w:spacing w:line="360" w:lineRule="exact"/>
              <w:ind w:firstLine="0" w:firstLineChars="0"/>
              <w:jc w:val="center"/>
              <w:rPr>
                <w:rFonts w:ascii="Times New Roman" w:hAnsi="Times New Roman" w:eastAsia="宋体"/>
                <w:kern w:val="0"/>
                <w:sz w:val="24"/>
                <w:szCs w:val="24"/>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14C7D0">
            <w:pPr>
              <w:spacing w:line="320" w:lineRule="exact"/>
              <w:ind w:firstLine="0" w:firstLineChars="0"/>
              <w:jc w:val="left"/>
              <w:rPr>
                <w:rFonts w:ascii="Times New Roman" w:hAnsi="Times New Roman" w:eastAsia="宋体"/>
                <w:kern w:val="0"/>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DB313">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D12引导广大城乡妇女立足岗位建功立业</w:t>
            </w:r>
          </w:p>
        </w:tc>
        <w:tc>
          <w:tcPr>
            <w:tcW w:w="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97589B">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10</w:t>
            </w:r>
          </w:p>
        </w:tc>
        <w:tc>
          <w:tcPr>
            <w:tcW w:w="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A0B68">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有效</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D2777">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主要考核引导 广大城乡妇女 建功立业情况</w:t>
            </w:r>
          </w:p>
        </w:tc>
        <w:tc>
          <w:tcPr>
            <w:tcW w:w="2126" w:type="dxa"/>
            <w:tcBorders>
              <w:top w:val="single" w:color="000000" w:sz="4" w:space="0"/>
              <w:left w:val="single" w:color="000000" w:sz="4" w:space="0"/>
              <w:bottom w:val="single" w:color="000000" w:sz="4" w:space="0"/>
              <w:right w:val="single" w:color="000000" w:sz="4" w:space="0"/>
            </w:tcBorders>
            <w:shd w:val="clear" w:color="auto" w:fill="FFFFFF"/>
          </w:tcPr>
          <w:p w14:paraId="1D6955E5">
            <w:pPr>
              <w:spacing w:line="320" w:lineRule="exact"/>
              <w:ind w:firstLine="0" w:firstLineChars="0"/>
              <w:rPr>
                <w:rFonts w:ascii="Times New Roman" w:hAnsi="Times New Roman" w:eastAsia="宋体"/>
                <w:kern w:val="0"/>
                <w:sz w:val="24"/>
                <w:szCs w:val="24"/>
              </w:rPr>
            </w:pPr>
            <w:r>
              <w:rPr>
                <w:rFonts w:hint="eastAsia" w:ascii="Times New Roman" w:hAnsi="Times New Roman" w:eastAsia="宋体"/>
                <w:kern w:val="0"/>
                <w:sz w:val="24"/>
                <w:szCs w:val="24"/>
              </w:rPr>
              <w:t>1.</w:t>
            </w:r>
            <w:r>
              <w:rPr>
                <w:rFonts w:ascii="Times New Roman" w:hAnsi="Times New Roman" w:eastAsia="宋体"/>
                <w:kern w:val="0"/>
                <w:sz w:val="24"/>
                <w:szCs w:val="24"/>
              </w:rPr>
              <w:t>实施科技创新巾帼行动，整合社会力量为女科技人才服务，讲好女科技人才的典型故事，弘扬科学家精神、传播科学文化</w:t>
            </w:r>
            <w:r>
              <w:rPr>
                <w:rFonts w:hint="eastAsia" w:ascii="Times New Roman" w:hAnsi="Times New Roman" w:eastAsia="宋体"/>
                <w:kern w:val="0"/>
                <w:sz w:val="24"/>
                <w:szCs w:val="24"/>
              </w:rPr>
              <w:t>，得2分；</w:t>
            </w:r>
          </w:p>
          <w:p w14:paraId="7F3FA038">
            <w:pPr>
              <w:spacing w:line="320" w:lineRule="exact"/>
              <w:ind w:firstLine="0" w:firstLineChars="0"/>
              <w:rPr>
                <w:rFonts w:ascii="Times New Roman" w:hAnsi="Times New Roman" w:eastAsia="宋体"/>
                <w:kern w:val="0"/>
                <w:sz w:val="24"/>
                <w:szCs w:val="24"/>
              </w:rPr>
            </w:pPr>
            <w:r>
              <w:rPr>
                <w:rFonts w:hint="eastAsia" w:ascii="Times New Roman" w:hAnsi="Times New Roman" w:eastAsia="宋体"/>
                <w:kern w:val="0"/>
                <w:sz w:val="24"/>
                <w:szCs w:val="24"/>
              </w:rPr>
              <w:t>2.</w:t>
            </w:r>
            <w:r>
              <w:rPr>
                <w:rFonts w:ascii="Times New Roman" w:hAnsi="Times New Roman" w:eastAsia="宋体"/>
                <w:kern w:val="0"/>
                <w:sz w:val="24"/>
                <w:szCs w:val="24"/>
              </w:rPr>
              <w:t>打造“创享宁姐”巾帼创业创新品牌，实施市属高校和高新园区女性创新实践项目不少于18个</w:t>
            </w:r>
            <w:r>
              <w:rPr>
                <w:rFonts w:hint="eastAsia" w:ascii="Times New Roman" w:hAnsi="Times New Roman" w:eastAsia="宋体"/>
                <w:kern w:val="0"/>
                <w:sz w:val="24"/>
                <w:szCs w:val="24"/>
              </w:rPr>
              <w:t>，得2分</w:t>
            </w:r>
            <w:r>
              <w:rPr>
                <w:rFonts w:ascii="Times New Roman" w:hAnsi="Times New Roman" w:eastAsia="宋体"/>
                <w:kern w:val="0"/>
                <w:sz w:val="24"/>
                <w:szCs w:val="24"/>
              </w:rPr>
              <w:t>；</w:t>
            </w:r>
          </w:p>
          <w:p w14:paraId="33279637">
            <w:pPr>
              <w:spacing w:line="320" w:lineRule="exact"/>
              <w:ind w:firstLine="0" w:firstLineChars="0"/>
              <w:rPr>
                <w:rFonts w:ascii="Times New Roman" w:hAnsi="Times New Roman" w:eastAsia="宋体"/>
                <w:kern w:val="0"/>
                <w:sz w:val="24"/>
                <w:szCs w:val="24"/>
              </w:rPr>
            </w:pPr>
            <w:r>
              <w:rPr>
                <w:rFonts w:hint="eastAsia" w:ascii="Times New Roman" w:hAnsi="Times New Roman" w:eastAsia="宋体"/>
                <w:kern w:val="0"/>
                <w:sz w:val="24"/>
                <w:szCs w:val="24"/>
              </w:rPr>
              <w:t>3.</w:t>
            </w:r>
            <w:r>
              <w:rPr>
                <w:rFonts w:ascii="Times New Roman" w:hAnsi="Times New Roman" w:eastAsia="宋体"/>
                <w:kern w:val="0"/>
                <w:sz w:val="24"/>
                <w:szCs w:val="24"/>
              </w:rPr>
              <w:t>深化美丽庭院工作，加强长效管护和宣传倡导</w:t>
            </w:r>
            <w:r>
              <w:rPr>
                <w:rFonts w:hint="eastAsia" w:ascii="Times New Roman" w:hAnsi="Times New Roman" w:eastAsia="宋体"/>
                <w:kern w:val="0"/>
                <w:sz w:val="24"/>
                <w:szCs w:val="24"/>
              </w:rPr>
              <w:t>，得2分；</w:t>
            </w:r>
          </w:p>
          <w:p w14:paraId="039AAB7E">
            <w:pPr>
              <w:spacing w:line="320" w:lineRule="exact"/>
              <w:ind w:firstLine="0" w:firstLineChars="0"/>
              <w:rPr>
                <w:rFonts w:ascii="Times New Roman" w:hAnsi="Times New Roman" w:eastAsia="宋体"/>
                <w:kern w:val="0"/>
                <w:sz w:val="24"/>
                <w:szCs w:val="24"/>
              </w:rPr>
            </w:pPr>
            <w:r>
              <w:rPr>
                <w:rFonts w:hint="eastAsia" w:ascii="Times New Roman" w:hAnsi="Times New Roman" w:eastAsia="宋体"/>
                <w:kern w:val="0"/>
                <w:sz w:val="24"/>
                <w:szCs w:val="24"/>
              </w:rPr>
              <w:t>4.</w:t>
            </w:r>
            <w:r>
              <w:rPr>
                <w:rFonts w:ascii="Times New Roman" w:hAnsi="Times New Roman" w:eastAsia="宋体"/>
                <w:kern w:val="0"/>
                <w:sz w:val="24"/>
                <w:szCs w:val="24"/>
              </w:rPr>
              <w:t>开展“双学双比”“巾帼建功”扶持项目不少于20个，助力女性创业带动就业</w:t>
            </w:r>
            <w:r>
              <w:rPr>
                <w:rFonts w:hint="eastAsia" w:ascii="Times New Roman" w:hAnsi="Times New Roman" w:eastAsia="宋体"/>
                <w:kern w:val="0"/>
                <w:sz w:val="24"/>
                <w:szCs w:val="24"/>
              </w:rPr>
              <w:t>，得2分；</w:t>
            </w:r>
          </w:p>
          <w:p w14:paraId="7E6C495E">
            <w:pPr>
              <w:spacing w:line="320" w:lineRule="exact"/>
              <w:ind w:firstLine="0" w:firstLineChars="0"/>
              <w:rPr>
                <w:rFonts w:ascii="Times New Roman" w:hAnsi="Times New Roman" w:eastAsia="宋体"/>
                <w:kern w:val="0"/>
                <w:sz w:val="24"/>
                <w:szCs w:val="24"/>
              </w:rPr>
            </w:pPr>
            <w:r>
              <w:rPr>
                <w:rFonts w:hint="eastAsia" w:ascii="Times New Roman" w:hAnsi="Times New Roman" w:eastAsia="宋体"/>
                <w:kern w:val="0"/>
                <w:sz w:val="24"/>
                <w:szCs w:val="24"/>
              </w:rPr>
              <w:t>5.</w:t>
            </w:r>
            <w:r>
              <w:rPr>
                <w:rFonts w:ascii="Times New Roman" w:hAnsi="Times New Roman" w:eastAsia="宋体"/>
                <w:kern w:val="0"/>
                <w:sz w:val="24"/>
                <w:szCs w:val="24"/>
              </w:rPr>
              <w:t>开展“宁姐月嫂”等技能培训，年培训不少于500人次，促进农村妇女提素增能</w:t>
            </w:r>
            <w:r>
              <w:rPr>
                <w:rFonts w:hint="eastAsia" w:ascii="Times New Roman" w:hAnsi="Times New Roman" w:eastAsia="宋体"/>
                <w:kern w:val="0"/>
                <w:sz w:val="24"/>
                <w:szCs w:val="24"/>
              </w:rPr>
              <w:t>，得2分。</w:t>
            </w:r>
            <w:r>
              <w:rPr>
                <w:rFonts w:ascii="Times New Roman" w:hAnsi="Times New Roman" w:eastAsia="宋体"/>
                <w:kern w:val="0"/>
                <w:sz w:val="24"/>
                <w:szCs w:val="24"/>
              </w:rPr>
              <w:tab/>
            </w:r>
            <w:r>
              <w:rPr>
                <w:rFonts w:ascii="Times New Roman" w:hAnsi="Times New Roman" w:eastAsia="宋体"/>
                <w:kern w:val="0"/>
                <w:sz w:val="24"/>
                <w:szCs w:val="24"/>
              </w:rPr>
              <w:tab/>
            </w:r>
            <w:r>
              <w:rPr>
                <w:rFonts w:ascii="Times New Roman" w:hAnsi="Times New Roman" w:eastAsia="宋体"/>
                <w:kern w:val="0"/>
                <w:sz w:val="24"/>
                <w:szCs w:val="24"/>
              </w:rPr>
              <w:tab/>
            </w:r>
            <w:r>
              <w:rPr>
                <w:rFonts w:ascii="Times New Roman" w:hAnsi="Times New Roman" w:eastAsia="宋体"/>
                <w:kern w:val="0"/>
                <w:sz w:val="24"/>
                <w:szCs w:val="24"/>
              </w:rPr>
              <w:tab/>
            </w:r>
            <w:r>
              <w:rPr>
                <w:rFonts w:ascii="Times New Roman" w:hAnsi="Times New Roman" w:eastAsia="宋体"/>
                <w:kern w:val="0"/>
                <w:sz w:val="24"/>
                <w:szCs w:val="24"/>
              </w:rPr>
              <w:tab/>
            </w:r>
            <w:r>
              <w:rPr>
                <w:rFonts w:ascii="Times New Roman" w:hAnsi="Times New Roman" w:eastAsia="宋体"/>
                <w:kern w:val="0"/>
                <w:sz w:val="24"/>
                <w:szCs w:val="24"/>
              </w:rPr>
              <w:tab/>
            </w:r>
            <w:r>
              <w:rPr>
                <w:rFonts w:ascii="Times New Roman" w:hAnsi="Times New Roman" w:eastAsia="宋体"/>
                <w:kern w:val="0"/>
                <w:sz w:val="24"/>
                <w:szCs w:val="24"/>
              </w:rPr>
              <w:tab/>
            </w: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CDC67">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10</w:t>
            </w:r>
          </w:p>
        </w:tc>
        <w:tc>
          <w:tcPr>
            <w:tcW w:w="4185" w:type="dxa"/>
            <w:tcBorders>
              <w:top w:val="single" w:color="000000" w:sz="4" w:space="0"/>
              <w:left w:val="single" w:color="000000" w:sz="4" w:space="0"/>
              <w:bottom w:val="single" w:color="000000" w:sz="4" w:space="0"/>
              <w:right w:val="single" w:color="000000" w:sz="4" w:space="0"/>
            </w:tcBorders>
            <w:shd w:val="clear" w:color="auto" w:fill="FFFFFF"/>
          </w:tcPr>
          <w:p w14:paraId="37D4BB35">
            <w:pPr>
              <w:spacing w:line="320" w:lineRule="exact"/>
              <w:ind w:firstLine="0" w:firstLineChars="0"/>
              <w:rPr>
                <w:rFonts w:ascii="Times New Roman" w:hAnsi="Times New Roman" w:eastAsia="宋体"/>
                <w:kern w:val="0"/>
                <w:sz w:val="24"/>
                <w:szCs w:val="24"/>
              </w:rPr>
            </w:pPr>
            <w:r>
              <w:rPr>
                <w:rFonts w:hint="eastAsia" w:ascii="Times New Roman" w:hAnsi="Times New Roman" w:eastAsia="宋体"/>
                <w:kern w:val="0"/>
                <w:sz w:val="24"/>
                <w:szCs w:val="24"/>
              </w:rPr>
              <w:t>1.</w:t>
            </w:r>
            <w:r>
              <w:rPr>
                <w:rFonts w:ascii="Times New Roman" w:hAnsi="Times New Roman" w:eastAsia="宋体"/>
                <w:kern w:val="0"/>
                <w:sz w:val="24"/>
                <w:szCs w:val="24"/>
              </w:rPr>
              <w:t>持续深化城乡妇女巾帼建功，举办“宁港巾帼 共启新程”“她力量 创未来”等主题活动，助力高质量发展。</w:t>
            </w:r>
          </w:p>
          <w:p w14:paraId="295C1DF5">
            <w:pPr>
              <w:spacing w:line="320" w:lineRule="exact"/>
              <w:ind w:firstLine="0" w:firstLineChars="0"/>
              <w:rPr>
                <w:rFonts w:ascii="Times New Roman" w:hAnsi="Times New Roman" w:eastAsia="宋体"/>
                <w:kern w:val="0"/>
                <w:sz w:val="24"/>
                <w:szCs w:val="24"/>
              </w:rPr>
            </w:pPr>
            <w:r>
              <w:rPr>
                <w:rFonts w:hint="eastAsia" w:ascii="Times New Roman" w:hAnsi="Times New Roman" w:eastAsia="宋体"/>
                <w:kern w:val="0"/>
                <w:sz w:val="24"/>
                <w:szCs w:val="24"/>
              </w:rPr>
              <w:t>2.</w:t>
            </w:r>
            <w:r>
              <w:rPr>
                <w:rFonts w:ascii="Times New Roman" w:hAnsi="Times New Roman" w:eastAsia="宋体"/>
                <w:kern w:val="0"/>
                <w:sz w:val="24"/>
                <w:szCs w:val="24"/>
              </w:rPr>
              <w:t>制作“创享宁姐·一人一课”，开展女大学生创业就业“后浪”计划，实施市属高校和高新园区女性创新实践项目</w:t>
            </w:r>
            <w:r>
              <w:rPr>
                <w:rFonts w:hint="eastAsia" w:ascii="Times New Roman" w:hAnsi="Times New Roman" w:eastAsia="宋体"/>
                <w:kern w:val="0"/>
                <w:sz w:val="24"/>
                <w:szCs w:val="24"/>
              </w:rPr>
              <w:t>20个，</w:t>
            </w:r>
            <w:r>
              <w:rPr>
                <w:rFonts w:ascii="Times New Roman" w:hAnsi="Times New Roman" w:eastAsia="宋体"/>
                <w:kern w:val="0"/>
                <w:sz w:val="24"/>
                <w:szCs w:val="24"/>
              </w:rPr>
              <w:t>为青年女性发展提供支持。</w:t>
            </w:r>
          </w:p>
          <w:p w14:paraId="18DF2C41">
            <w:pPr>
              <w:spacing w:line="320" w:lineRule="exact"/>
              <w:ind w:firstLine="0" w:firstLineChars="0"/>
              <w:rPr>
                <w:rFonts w:ascii="Times New Roman" w:hAnsi="Times New Roman" w:eastAsia="宋体"/>
                <w:kern w:val="0"/>
                <w:sz w:val="24"/>
                <w:szCs w:val="24"/>
              </w:rPr>
            </w:pPr>
            <w:r>
              <w:rPr>
                <w:rFonts w:hint="eastAsia" w:ascii="Times New Roman" w:hAnsi="Times New Roman" w:eastAsia="宋体"/>
                <w:kern w:val="0"/>
                <w:sz w:val="24"/>
                <w:szCs w:val="24"/>
              </w:rPr>
              <w:t>3.</w:t>
            </w:r>
            <w:r>
              <w:rPr>
                <w:rFonts w:ascii="Times New Roman" w:hAnsi="Times New Roman" w:eastAsia="宋体"/>
                <w:kern w:val="0"/>
                <w:sz w:val="24"/>
                <w:szCs w:val="24"/>
              </w:rPr>
              <w:t>深化美丽庭院工作，开展“巾帼建功  花开庭院”活动，动员更多妇女为建设宜居宜业和美乡村贡献力量。</w:t>
            </w:r>
            <w:r>
              <w:rPr>
                <w:rFonts w:hint="eastAsia" w:ascii="Times New Roman" w:hAnsi="Times New Roman" w:eastAsia="宋体"/>
                <w:kern w:val="0"/>
                <w:sz w:val="24"/>
                <w:szCs w:val="24"/>
              </w:rPr>
              <w:t>南京1名庭院女主人、5个美丽庭院入选全国妇联“十村百人千院” 精品庭院和女主人典型案例。</w:t>
            </w:r>
          </w:p>
          <w:p w14:paraId="40478643">
            <w:pPr>
              <w:spacing w:line="320" w:lineRule="exact"/>
              <w:ind w:firstLine="0" w:firstLineChars="0"/>
              <w:rPr>
                <w:rFonts w:ascii="Times New Roman" w:hAnsi="Times New Roman" w:eastAsia="宋体"/>
                <w:kern w:val="0"/>
                <w:sz w:val="24"/>
                <w:szCs w:val="24"/>
              </w:rPr>
            </w:pPr>
            <w:r>
              <w:rPr>
                <w:rFonts w:hint="eastAsia" w:ascii="Times New Roman" w:hAnsi="Times New Roman" w:eastAsia="宋体"/>
                <w:kern w:val="0"/>
                <w:sz w:val="24"/>
                <w:szCs w:val="24"/>
              </w:rPr>
              <w:t>4.</w:t>
            </w:r>
            <w:r>
              <w:rPr>
                <w:rFonts w:ascii="Times New Roman" w:hAnsi="Times New Roman" w:eastAsia="宋体"/>
                <w:kern w:val="0"/>
                <w:sz w:val="24"/>
                <w:szCs w:val="24"/>
              </w:rPr>
              <w:t>通过线上线下渠道，开展宁姐丰收市集、“她选优品”专区等“双学双比”“巾帼建功”扶持项目30个，助力女性创业带动就业</w:t>
            </w:r>
            <w:r>
              <w:rPr>
                <w:rFonts w:hint="eastAsia" w:ascii="Times New Roman" w:hAnsi="Times New Roman" w:eastAsia="宋体"/>
                <w:kern w:val="0"/>
                <w:sz w:val="24"/>
                <w:szCs w:val="24"/>
              </w:rPr>
              <w:t>。</w:t>
            </w:r>
          </w:p>
          <w:p w14:paraId="1905E227">
            <w:pPr>
              <w:spacing w:line="320" w:lineRule="exact"/>
              <w:ind w:firstLine="0" w:firstLineChars="0"/>
              <w:rPr>
                <w:rFonts w:ascii="Times New Roman" w:hAnsi="Times New Roman" w:eastAsia="宋体"/>
                <w:kern w:val="0"/>
                <w:sz w:val="24"/>
                <w:szCs w:val="24"/>
              </w:rPr>
            </w:pPr>
            <w:r>
              <w:rPr>
                <w:rFonts w:hint="eastAsia" w:ascii="Times New Roman" w:hAnsi="Times New Roman" w:eastAsia="宋体"/>
                <w:kern w:val="0"/>
                <w:sz w:val="24"/>
                <w:szCs w:val="24"/>
              </w:rPr>
              <w:t>5.</w:t>
            </w:r>
            <w:r>
              <w:rPr>
                <w:rFonts w:ascii="Times New Roman" w:hAnsi="Times New Roman" w:eastAsia="宋体"/>
                <w:kern w:val="0"/>
                <w:sz w:val="24"/>
                <w:szCs w:val="24"/>
              </w:rPr>
              <w:t>开展“宁姐月嫂”等技能培训，年培训616人次，开展巾帼电商、农业技能、乡村旅游经营管理等“乡村振兴巾帼行动”专项培训13场</w:t>
            </w:r>
            <w:r>
              <w:rPr>
                <w:rFonts w:hint="eastAsia" w:ascii="Times New Roman" w:hAnsi="Times New Roman" w:eastAsia="宋体"/>
                <w:kern w:val="0"/>
                <w:sz w:val="24"/>
                <w:szCs w:val="24"/>
              </w:rPr>
              <w:t>，</w:t>
            </w:r>
            <w:r>
              <w:rPr>
                <w:rFonts w:ascii="Times New Roman" w:hAnsi="Times New Roman" w:eastAsia="宋体"/>
                <w:kern w:val="0"/>
                <w:sz w:val="24"/>
                <w:szCs w:val="24"/>
              </w:rPr>
              <w:t>促进农村妇女提素增能。</w:t>
            </w:r>
          </w:p>
          <w:p w14:paraId="116036CD">
            <w:pPr>
              <w:spacing w:line="320" w:lineRule="exact"/>
              <w:ind w:firstLine="0" w:firstLineChars="0"/>
              <w:rPr>
                <w:rFonts w:ascii="Times New Roman" w:hAnsi="Times New Roman" w:eastAsia="宋体"/>
                <w:kern w:val="0"/>
                <w:sz w:val="24"/>
                <w:szCs w:val="24"/>
              </w:rPr>
            </w:pPr>
          </w:p>
          <w:p w14:paraId="149701E1">
            <w:pPr>
              <w:spacing w:line="320" w:lineRule="exact"/>
              <w:ind w:firstLine="0" w:firstLineChars="0"/>
              <w:rPr>
                <w:rFonts w:ascii="Times New Roman" w:hAnsi="Times New Roman" w:eastAsia="宋体"/>
                <w:kern w:val="0"/>
                <w:sz w:val="24"/>
                <w:szCs w:val="24"/>
              </w:rPr>
            </w:pPr>
          </w:p>
        </w:tc>
      </w:tr>
      <w:tr w14:paraId="6423188F">
        <w:tblPrEx>
          <w:tblCellMar>
            <w:top w:w="0" w:type="dxa"/>
            <w:left w:w="108" w:type="dxa"/>
            <w:bottom w:w="0" w:type="dxa"/>
            <w:right w:w="108" w:type="dxa"/>
          </w:tblCellMar>
        </w:tblPrEx>
        <w:trPr>
          <w:trHeight w:val="1240" w:hRule="atLeast"/>
          <w:jc w:val="center"/>
        </w:trPr>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5C7EFD">
            <w:pPr>
              <w:spacing w:line="360" w:lineRule="exact"/>
              <w:ind w:firstLine="0" w:firstLineChars="0"/>
              <w:jc w:val="center"/>
              <w:rPr>
                <w:rFonts w:ascii="Times New Roman" w:hAnsi="Times New Roman" w:eastAsia="宋体"/>
                <w:kern w:val="0"/>
                <w:sz w:val="24"/>
                <w:szCs w:val="24"/>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F3394C">
            <w:pPr>
              <w:spacing w:line="320" w:lineRule="exact"/>
              <w:ind w:firstLine="0" w:firstLineChars="0"/>
              <w:jc w:val="left"/>
              <w:rPr>
                <w:rFonts w:ascii="Times New Roman" w:hAnsi="Times New Roman" w:eastAsia="宋体"/>
                <w:kern w:val="0"/>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58E5B8">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D13基层妇联组织对妇女群众的凝聚力、影响力</w:t>
            </w:r>
          </w:p>
        </w:tc>
        <w:tc>
          <w:tcPr>
            <w:tcW w:w="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ED20D">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10</w:t>
            </w:r>
          </w:p>
        </w:tc>
        <w:tc>
          <w:tcPr>
            <w:tcW w:w="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AEEA07">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≥100%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44D78">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主要考核基层妇联组织对妇女群众的凝聚力、影响力</w:t>
            </w:r>
          </w:p>
        </w:tc>
        <w:tc>
          <w:tcPr>
            <w:tcW w:w="2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80DC7">
            <w:pPr>
              <w:spacing w:line="320" w:lineRule="exact"/>
              <w:ind w:firstLine="0" w:firstLineChars="0"/>
              <w:rPr>
                <w:rFonts w:ascii="Times New Roman" w:hAnsi="Times New Roman" w:eastAsia="宋体"/>
                <w:kern w:val="0"/>
                <w:sz w:val="24"/>
                <w:szCs w:val="24"/>
              </w:rPr>
            </w:pPr>
            <w:r>
              <w:rPr>
                <w:rFonts w:hint="eastAsia" w:ascii="Times New Roman" w:hAnsi="Times New Roman" w:eastAsia="宋体"/>
                <w:kern w:val="0"/>
                <w:sz w:val="24"/>
                <w:szCs w:val="24"/>
              </w:rPr>
              <w:t>1.</w:t>
            </w:r>
            <w:r>
              <w:rPr>
                <w:rFonts w:ascii="Times New Roman" w:hAnsi="Times New Roman" w:eastAsia="宋体"/>
                <w:kern w:val="0"/>
                <w:sz w:val="24"/>
                <w:szCs w:val="24"/>
              </w:rPr>
              <w:t>夯实基层工作基础，增强工作力量，激发基层工作活力得</w:t>
            </w:r>
            <w:r>
              <w:rPr>
                <w:rFonts w:hint="eastAsia" w:ascii="Times New Roman" w:hAnsi="Times New Roman" w:eastAsia="宋体"/>
                <w:kern w:val="0"/>
                <w:sz w:val="24"/>
                <w:szCs w:val="24"/>
              </w:rPr>
              <w:t>4</w:t>
            </w:r>
            <w:r>
              <w:rPr>
                <w:rFonts w:ascii="Times New Roman" w:hAnsi="Times New Roman" w:eastAsia="宋体"/>
                <w:kern w:val="0"/>
                <w:sz w:val="24"/>
                <w:szCs w:val="24"/>
              </w:rPr>
              <w:t>分；</w:t>
            </w:r>
          </w:p>
          <w:p w14:paraId="253319E0">
            <w:pPr>
              <w:spacing w:line="320" w:lineRule="exact"/>
              <w:ind w:firstLine="0" w:firstLineChars="0"/>
              <w:rPr>
                <w:rFonts w:ascii="Times New Roman" w:hAnsi="Times New Roman" w:eastAsia="宋体"/>
                <w:kern w:val="0"/>
                <w:sz w:val="24"/>
                <w:szCs w:val="24"/>
                <w:lang w:eastAsia="en-US"/>
              </w:rPr>
            </w:pPr>
            <w:r>
              <w:rPr>
                <w:rFonts w:hint="eastAsia" w:ascii="Times New Roman" w:hAnsi="Times New Roman" w:eastAsia="宋体"/>
                <w:kern w:val="0"/>
                <w:sz w:val="24"/>
                <w:szCs w:val="24"/>
              </w:rPr>
              <w:t>2.</w:t>
            </w:r>
            <w:r>
              <w:rPr>
                <w:rFonts w:ascii="Times New Roman" w:hAnsi="Times New Roman" w:eastAsia="宋体"/>
                <w:kern w:val="0"/>
                <w:sz w:val="24"/>
                <w:szCs w:val="24"/>
              </w:rPr>
              <w:t>扩大组织和工作覆盖，打造特色服务品牌，联系服务妇女群众触角不断延伸得</w:t>
            </w:r>
            <w:r>
              <w:rPr>
                <w:rFonts w:hint="eastAsia" w:ascii="Times New Roman" w:hAnsi="Times New Roman" w:eastAsia="宋体"/>
                <w:kern w:val="0"/>
                <w:sz w:val="24"/>
                <w:szCs w:val="24"/>
              </w:rPr>
              <w:t>2</w:t>
            </w:r>
            <w:r>
              <w:rPr>
                <w:rFonts w:ascii="Times New Roman" w:hAnsi="Times New Roman" w:eastAsia="宋体"/>
                <w:kern w:val="0"/>
                <w:sz w:val="24"/>
                <w:szCs w:val="24"/>
              </w:rPr>
              <w:t>分；</w:t>
            </w:r>
          </w:p>
          <w:p w14:paraId="4559AF60">
            <w:pPr>
              <w:spacing w:line="320" w:lineRule="exact"/>
              <w:ind w:firstLine="0" w:firstLineChars="0"/>
              <w:rPr>
                <w:rFonts w:ascii="Times New Roman" w:hAnsi="Times New Roman" w:eastAsia="宋体"/>
                <w:kern w:val="0"/>
                <w:sz w:val="24"/>
                <w:szCs w:val="24"/>
                <w:lang w:eastAsia="en-US"/>
              </w:rPr>
            </w:pPr>
            <w:r>
              <w:rPr>
                <w:rFonts w:hint="eastAsia" w:ascii="Times New Roman" w:hAnsi="Times New Roman" w:eastAsia="宋体"/>
                <w:kern w:val="0"/>
                <w:sz w:val="24"/>
                <w:szCs w:val="24"/>
              </w:rPr>
              <w:t>3.</w:t>
            </w:r>
            <w:r>
              <w:rPr>
                <w:rFonts w:ascii="Times New Roman" w:hAnsi="Times New Roman" w:eastAsia="宋体"/>
                <w:kern w:val="0"/>
                <w:sz w:val="24"/>
                <w:szCs w:val="24"/>
              </w:rPr>
              <w:t>为新就业女性群体提供关爱服务得</w:t>
            </w:r>
            <w:r>
              <w:rPr>
                <w:rFonts w:hint="eastAsia" w:ascii="Times New Roman" w:hAnsi="Times New Roman" w:eastAsia="宋体"/>
                <w:kern w:val="0"/>
                <w:sz w:val="24"/>
                <w:szCs w:val="24"/>
              </w:rPr>
              <w:t>2</w:t>
            </w:r>
            <w:r>
              <w:rPr>
                <w:rFonts w:ascii="Times New Roman" w:hAnsi="Times New Roman" w:eastAsia="宋体"/>
                <w:kern w:val="0"/>
                <w:sz w:val="24"/>
                <w:szCs w:val="24"/>
              </w:rPr>
              <w:t>分；</w:t>
            </w:r>
          </w:p>
          <w:p w14:paraId="19A9B966">
            <w:pPr>
              <w:spacing w:line="320" w:lineRule="exact"/>
              <w:ind w:firstLine="0" w:firstLineChars="0"/>
              <w:rPr>
                <w:rFonts w:ascii="Times New Roman" w:hAnsi="Times New Roman" w:eastAsia="宋体"/>
                <w:kern w:val="0"/>
                <w:sz w:val="24"/>
                <w:szCs w:val="24"/>
                <w:lang w:eastAsia="en-US"/>
              </w:rPr>
            </w:pPr>
            <w:r>
              <w:rPr>
                <w:rFonts w:ascii="Times New Roman" w:hAnsi="Times New Roman" w:eastAsia="宋体"/>
                <w:kern w:val="0"/>
                <w:sz w:val="24"/>
                <w:szCs w:val="24"/>
              </w:rPr>
              <w:t>4.以“妇儿之家”为主阵地，常态化开展各类活动和服务得</w:t>
            </w:r>
            <w:r>
              <w:rPr>
                <w:rFonts w:hint="eastAsia" w:ascii="Times New Roman" w:hAnsi="Times New Roman" w:eastAsia="宋体"/>
                <w:kern w:val="0"/>
                <w:sz w:val="24"/>
                <w:szCs w:val="24"/>
              </w:rPr>
              <w:t>2</w:t>
            </w:r>
            <w:r>
              <w:rPr>
                <w:rFonts w:ascii="Times New Roman" w:hAnsi="Times New Roman" w:eastAsia="宋体"/>
                <w:kern w:val="0"/>
                <w:sz w:val="24"/>
                <w:szCs w:val="24"/>
              </w:rPr>
              <w:t>分。</w:t>
            </w: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DE2A1">
            <w:pPr>
              <w:spacing w:line="320" w:lineRule="exact"/>
              <w:ind w:firstLine="0" w:firstLineChars="0"/>
              <w:rPr>
                <w:rFonts w:ascii="Times New Roman" w:hAnsi="Times New Roman" w:eastAsia="宋体"/>
                <w:kern w:val="0"/>
                <w:sz w:val="24"/>
                <w:szCs w:val="24"/>
              </w:rPr>
            </w:pPr>
            <w:r>
              <w:rPr>
                <w:rFonts w:hint="eastAsia" w:ascii="Times New Roman" w:hAnsi="Times New Roman" w:eastAsia="宋体"/>
                <w:kern w:val="0"/>
                <w:sz w:val="24"/>
                <w:szCs w:val="24"/>
              </w:rPr>
              <w:t>10</w:t>
            </w:r>
          </w:p>
        </w:tc>
        <w:tc>
          <w:tcPr>
            <w:tcW w:w="4185" w:type="dxa"/>
            <w:tcBorders>
              <w:top w:val="single" w:color="000000" w:sz="4" w:space="0"/>
              <w:left w:val="single" w:color="000000" w:sz="4" w:space="0"/>
              <w:bottom w:val="single" w:color="000000" w:sz="4" w:space="0"/>
              <w:right w:val="single" w:color="000000" w:sz="4" w:space="0"/>
            </w:tcBorders>
            <w:shd w:val="clear" w:color="auto" w:fill="FFFFFF"/>
          </w:tcPr>
          <w:p w14:paraId="40E15697">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1.联合市财政局及时拨付360万社区（村）妇联工作经费，支持基层妇联开展工作。深化妇联改革“一区一品”特色品牌培育项目，确立玄武区“微光汇聚工作室”项目、建邺区“优家学堂”家庭教育等12个特色项目，打造区域特色品牌。</w:t>
            </w:r>
          </w:p>
          <w:p w14:paraId="2D226C34">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2.全面完成纳入省妇联的9个新兴领域试点任务，推动成立市注册会计师、税务师等行业妇联，新建各类新兴领域妇联组织123个，全市妇女组织覆盖3万余个，进一步扩大新兴领域妇联组织和工作覆盖面。                                                    3.面向网约车女司机、女骑手、女快递员等新就业女性群体，累计开展“宁姐暖新”公益服务活动60场，发放暖心包1600余个。</w:t>
            </w:r>
          </w:p>
          <w:p w14:paraId="71AA719D">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4.着力提升社区（村）妇女儿童之家服务能力和水平，以需求为导向，常态化开展关爱服务、文体活动等，鼓励有条件的社区（村）引入社会力量，更加精准有效满足妇女儿童及家庭多样化需求。</w:t>
            </w:r>
          </w:p>
        </w:tc>
      </w:tr>
      <w:tr w14:paraId="1D16373D">
        <w:tblPrEx>
          <w:tblCellMar>
            <w:top w:w="0" w:type="dxa"/>
            <w:left w:w="108" w:type="dxa"/>
            <w:bottom w:w="0" w:type="dxa"/>
            <w:right w:w="108" w:type="dxa"/>
          </w:tblCellMar>
        </w:tblPrEx>
        <w:trPr>
          <w:trHeight w:val="1928" w:hRule="atLeast"/>
          <w:jc w:val="center"/>
        </w:trPr>
        <w:tc>
          <w:tcPr>
            <w:tcW w:w="1324" w:type="dxa"/>
            <w:tcBorders>
              <w:top w:val="single" w:color="auto" w:sz="4" w:space="0"/>
              <w:left w:val="single" w:color="000000" w:sz="4" w:space="0"/>
              <w:bottom w:val="single" w:color="000000" w:sz="4" w:space="0"/>
              <w:right w:val="single" w:color="000000" w:sz="4" w:space="0"/>
            </w:tcBorders>
            <w:shd w:val="clear" w:color="auto" w:fill="FFFFFF"/>
            <w:vAlign w:val="center"/>
          </w:tcPr>
          <w:p w14:paraId="64D40126">
            <w:pPr>
              <w:spacing w:line="36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E满意度（5分）</w:t>
            </w:r>
          </w:p>
        </w:tc>
        <w:tc>
          <w:tcPr>
            <w:tcW w:w="1187" w:type="dxa"/>
            <w:tcBorders>
              <w:top w:val="single" w:color="auto" w:sz="4" w:space="0"/>
              <w:left w:val="single" w:color="000000" w:sz="4" w:space="0"/>
              <w:bottom w:val="single" w:color="000000" w:sz="4" w:space="0"/>
              <w:right w:val="single" w:color="000000" w:sz="4" w:space="0"/>
            </w:tcBorders>
            <w:shd w:val="clear" w:color="auto" w:fill="FFFFFF"/>
            <w:vAlign w:val="center"/>
          </w:tcPr>
          <w:p w14:paraId="47315787">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E1服务对象满意度（5分）</w:t>
            </w:r>
          </w:p>
        </w:tc>
        <w:tc>
          <w:tcPr>
            <w:tcW w:w="1440" w:type="dxa"/>
            <w:tcBorders>
              <w:top w:val="single" w:color="auto" w:sz="4" w:space="0"/>
              <w:left w:val="single" w:color="000000" w:sz="4" w:space="0"/>
              <w:bottom w:val="single" w:color="000000" w:sz="4" w:space="0"/>
              <w:right w:val="single" w:color="000000" w:sz="4" w:space="0"/>
            </w:tcBorders>
            <w:shd w:val="clear" w:color="auto" w:fill="FFFFFF"/>
            <w:vAlign w:val="center"/>
          </w:tcPr>
          <w:p w14:paraId="1E8A0717">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E11作风建设满意度</w:t>
            </w:r>
          </w:p>
        </w:tc>
        <w:tc>
          <w:tcPr>
            <w:tcW w:w="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C617F9">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5</w:t>
            </w:r>
          </w:p>
        </w:tc>
        <w:tc>
          <w:tcPr>
            <w:tcW w:w="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812C53">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≥90%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47EE3">
            <w:pPr>
              <w:spacing w:line="320" w:lineRule="exact"/>
              <w:ind w:firstLine="0" w:firstLineChars="0"/>
              <w:rPr>
                <w:rFonts w:ascii="Times New Roman" w:hAnsi="Times New Roman" w:eastAsia="宋体"/>
                <w:kern w:val="0"/>
                <w:sz w:val="24"/>
                <w:szCs w:val="24"/>
              </w:rPr>
            </w:pPr>
            <w:r>
              <w:rPr>
                <w:rFonts w:ascii="Times New Roman" w:hAnsi="Times New Roman" w:eastAsia="宋体"/>
                <w:kern w:val="0"/>
                <w:sz w:val="24"/>
                <w:szCs w:val="24"/>
              </w:rPr>
              <w:t>主要考核评议群体对妇联作风建设工作满意度</w:t>
            </w:r>
          </w:p>
        </w:tc>
        <w:tc>
          <w:tcPr>
            <w:tcW w:w="2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933E9">
            <w:pPr>
              <w:spacing w:line="320" w:lineRule="exact"/>
              <w:ind w:firstLine="0" w:firstLineChars="0"/>
              <w:jc w:val="left"/>
              <w:rPr>
                <w:rFonts w:ascii="Times New Roman" w:hAnsi="Times New Roman" w:eastAsia="宋体"/>
                <w:kern w:val="0"/>
                <w:sz w:val="24"/>
                <w:szCs w:val="24"/>
              </w:rPr>
            </w:pPr>
            <w:r>
              <w:rPr>
                <w:rFonts w:hint="eastAsia" w:ascii="Times New Roman" w:hAnsi="Times New Roman" w:eastAsia="宋体"/>
                <w:kern w:val="0"/>
                <w:sz w:val="24"/>
                <w:szCs w:val="24"/>
              </w:rPr>
              <w:t>评议群体对妇联作风建设工作满意度90%以上得5分，少1个百分点扣0.5分，扣完为止。</w:t>
            </w: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81558">
            <w:pPr>
              <w:spacing w:line="320" w:lineRule="exact"/>
              <w:ind w:firstLine="0" w:firstLineChars="0"/>
              <w:jc w:val="center"/>
              <w:rPr>
                <w:rFonts w:ascii="Times New Roman" w:hAnsi="Times New Roman" w:eastAsia="宋体"/>
                <w:kern w:val="0"/>
                <w:sz w:val="24"/>
                <w:szCs w:val="24"/>
              </w:rPr>
            </w:pPr>
            <w:r>
              <w:rPr>
                <w:rFonts w:hint="eastAsia" w:ascii="Times New Roman" w:hAnsi="Times New Roman" w:eastAsia="宋体"/>
                <w:kern w:val="0"/>
                <w:sz w:val="24"/>
                <w:szCs w:val="24"/>
              </w:rPr>
              <w:t>5</w:t>
            </w:r>
          </w:p>
        </w:tc>
        <w:tc>
          <w:tcPr>
            <w:tcW w:w="4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4ECCE">
            <w:pPr>
              <w:spacing w:line="320" w:lineRule="exact"/>
              <w:ind w:firstLine="0" w:firstLineChars="0"/>
              <w:jc w:val="left"/>
              <w:rPr>
                <w:rFonts w:ascii="Times New Roman" w:hAnsi="Times New Roman" w:eastAsia="宋体"/>
                <w:kern w:val="0"/>
                <w:sz w:val="24"/>
                <w:szCs w:val="24"/>
              </w:rPr>
            </w:pPr>
            <w:r>
              <w:rPr>
                <w:rFonts w:hint="eastAsia" w:ascii="Times New Roman" w:hAnsi="Times New Roman" w:eastAsia="宋体"/>
                <w:kern w:val="0"/>
                <w:sz w:val="24"/>
                <w:szCs w:val="24"/>
              </w:rPr>
              <w:t>鉴于评议规则改变，25年未产生具体的满意度数字。25年度市妇联工作和服务对象评价征集的意见除少数建议外，主要为表扬意见。该指标得5分。</w:t>
            </w:r>
          </w:p>
        </w:tc>
      </w:tr>
      <w:tr w14:paraId="3D769E22">
        <w:tblPrEx>
          <w:tblCellMar>
            <w:top w:w="0" w:type="dxa"/>
            <w:left w:w="108" w:type="dxa"/>
            <w:bottom w:w="0" w:type="dxa"/>
            <w:right w:w="108" w:type="dxa"/>
          </w:tblCellMar>
        </w:tblPrEx>
        <w:trPr>
          <w:trHeight w:val="770" w:hRule="atLeast"/>
          <w:jc w:val="center"/>
        </w:trPr>
        <w:tc>
          <w:tcPr>
            <w:tcW w:w="1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BB0FC">
            <w:pPr>
              <w:spacing w:line="36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合计</w:t>
            </w:r>
          </w:p>
        </w:tc>
        <w:tc>
          <w:tcPr>
            <w:tcW w:w="11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D9E02">
            <w:pPr>
              <w:spacing w:line="320" w:lineRule="exact"/>
              <w:ind w:firstLine="0" w:firstLineChars="0"/>
              <w:jc w:val="left"/>
              <w:rPr>
                <w:rFonts w:ascii="Times New Roman" w:hAnsi="Times New Roman" w:eastAsia="宋体"/>
                <w:kern w:val="0"/>
                <w:sz w:val="24"/>
                <w:szCs w:val="24"/>
              </w:rPr>
            </w:pPr>
          </w:p>
        </w:tc>
        <w:tc>
          <w:tcPr>
            <w:tcW w:w="14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1C088">
            <w:pPr>
              <w:spacing w:line="320" w:lineRule="exact"/>
              <w:ind w:firstLine="0" w:firstLineChars="0"/>
              <w:jc w:val="left"/>
              <w:rPr>
                <w:rFonts w:ascii="Times New Roman" w:hAnsi="Times New Roman" w:eastAsia="宋体"/>
                <w:kern w:val="0"/>
                <w:sz w:val="24"/>
                <w:szCs w:val="24"/>
              </w:rPr>
            </w:pPr>
          </w:p>
        </w:tc>
        <w:tc>
          <w:tcPr>
            <w:tcW w:w="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4CBF2F">
            <w:pPr>
              <w:spacing w:line="320" w:lineRule="exact"/>
              <w:ind w:firstLine="0" w:firstLineChars="0"/>
              <w:jc w:val="center"/>
              <w:rPr>
                <w:rFonts w:ascii="Times New Roman" w:hAnsi="Times New Roman" w:eastAsia="宋体"/>
                <w:kern w:val="0"/>
                <w:sz w:val="24"/>
                <w:szCs w:val="24"/>
              </w:rPr>
            </w:pPr>
            <w:r>
              <w:rPr>
                <w:rFonts w:ascii="Times New Roman" w:hAnsi="Times New Roman" w:eastAsia="宋体"/>
                <w:kern w:val="0"/>
                <w:sz w:val="24"/>
                <w:szCs w:val="24"/>
              </w:rPr>
              <w:t>100</w:t>
            </w:r>
          </w:p>
        </w:tc>
        <w:tc>
          <w:tcPr>
            <w:tcW w:w="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D74409">
            <w:pPr>
              <w:spacing w:line="320" w:lineRule="exact"/>
              <w:ind w:firstLine="0" w:firstLineChars="0"/>
              <w:jc w:val="center"/>
              <w:rPr>
                <w:rFonts w:ascii="Times New Roman" w:hAnsi="Times New Roman" w:eastAsia="宋体"/>
                <w:kern w:val="0"/>
                <w:sz w:val="24"/>
                <w:szCs w:val="24"/>
              </w:rPr>
            </w:pP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4C99A">
            <w:pPr>
              <w:spacing w:line="320" w:lineRule="exact"/>
              <w:ind w:firstLine="0" w:firstLineChars="0"/>
              <w:jc w:val="left"/>
              <w:rPr>
                <w:rFonts w:ascii="Times New Roman" w:hAnsi="Times New Roman" w:eastAsia="宋体"/>
                <w:kern w:val="0"/>
                <w:sz w:val="24"/>
                <w:szCs w:val="24"/>
              </w:rPr>
            </w:pPr>
          </w:p>
        </w:tc>
        <w:tc>
          <w:tcPr>
            <w:tcW w:w="2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AF840">
            <w:pPr>
              <w:spacing w:line="320" w:lineRule="exact"/>
              <w:ind w:firstLine="0" w:firstLineChars="0"/>
              <w:jc w:val="left"/>
              <w:rPr>
                <w:rFonts w:ascii="Times New Roman" w:hAnsi="Times New Roman" w:eastAsia="宋体"/>
                <w:kern w:val="0"/>
                <w:sz w:val="24"/>
                <w:szCs w:val="24"/>
              </w:rPr>
            </w:pPr>
          </w:p>
        </w:tc>
        <w:tc>
          <w:tcPr>
            <w:tcW w:w="8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E5951">
            <w:pPr>
              <w:spacing w:line="320" w:lineRule="exact"/>
              <w:ind w:firstLine="0" w:firstLineChars="0"/>
              <w:jc w:val="center"/>
              <w:rPr>
                <w:rFonts w:ascii="Times New Roman" w:hAnsi="Times New Roman" w:eastAsia="宋体"/>
                <w:kern w:val="0"/>
                <w:sz w:val="24"/>
                <w:szCs w:val="24"/>
              </w:rPr>
            </w:pPr>
            <w:r>
              <w:rPr>
                <w:rFonts w:hint="eastAsia" w:ascii="Times New Roman" w:hAnsi="Times New Roman" w:eastAsia="宋体"/>
                <w:kern w:val="0"/>
                <w:sz w:val="24"/>
                <w:szCs w:val="24"/>
              </w:rPr>
              <w:t>99</w:t>
            </w:r>
          </w:p>
        </w:tc>
        <w:tc>
          <w:tcPr>
            <w:tcW w:w="4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987A2">
            <w:pPr>
              <w:spacing w:line="320" w:lineRule="exact"/>
              <w:ind w:firstLine="0" w:firstLineChars="0"/>
              <w:jc w:val="left"/>
              <w:rPr>
                <w:rFonts w:ascii="Times New Roman" w:hAnsi="Times New Roman" w:eastAsia="宋体"/>
                <w:kern w:val="0"/>
                <w:sz w:val="24"/>
                <w:szCs w:val="24"/>
              </w:rPr>
            </w:pPr>
          </w:p>
        </w:tc>
      </w:tr>
    </w:tbl>
    <w:p w14:paraId="2CF55C56">
      <w:pPr>
        <w:ind w:firstLine="656"/>
        <w:rPr>
          <w:rFonts w:ascii="Times New Roman" w:hAnsi="Times New Roman"/>
        </w:rPr>
      </w:pPr>
    </w:p>
    <w:p w14:paraId="37FC20FA">
      <w:pPr>
        <w:pStyle w:val="30"/>
        <w:ind w:firstLine="436"/>
      </w:pPr>
    </w:p>
    <w:sectPr>
      <w:pgSz w:w="16840" w:h="11907" w:orient="landscape"/>
      <w:pgMar w:top="1474" w:right="1247" w:bottom="1247" w:left="1247" w:header="737" w:footer="1247" w:gutter="0"/>
      <w:cols w:space="720" w:num="1"/>
      <w:docGrid w:type="linesAndChars" w:linePitch="459" w:charSpace="165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5388896-5BD2-463E-8DAB-76FA8C9B587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MingLiU">
    <w:altName w:val="PMingLiU-ExtB"/>
    <w:panose1 w:val="02020509000000000000"/>
    <w:charset w:val="88"/>
    <w:family w:val="modern"/>
    <w:pitch w:val="default"/>
    <w:sig w:usb0="00000000" w:usb1="00000000" w:usb2="00000016" w:usb3="00000000" w:csb0="00100001" w:csb1="00000000"/>
  </w:font>
  <w:font w:name="等线 Light">
    <w:panose1 w:val="02010600030101010101"/>
    <w:charset w:val="86"/>
    <w:family w:val="auto"/>
    <w:pitch w:val="default"/>
    <w:sig w:usb0="A00002BF" w:usb1="38CF7CFA" w:usb2="00000016" w:usb3="00000000" w:csb0="0004000F" w:csb1="00000000"/>
  </w:font>
  <w:font w:name="方正小标宋_GBK">
    <w:panose1 w:val="02000000000000000000"/>
    <w:charset w:val="86"/>
    <w:family w:val="script"/>
    <w:pitch w:val="default"/>
    <w:sig w:usb0="00000001" w:usb1="080E0000" w:usb2="00000000" w:usb3="00000000" w:csb0="00040000" w:csb1="00000000"/>
    <w:embedRegular r:id="rId2" w:fontKey="{493C8D22-A3AF-4A78-BDCE-6E623840F302}"/>
  </w:font>
  <w:font w:name="方正黑体_GBK">
    <w:panose1 w:val="02010600010101010101"/>
    <w:charset w:val="86"/>
    <w:family w:val="script"/>
    <w:pitch w:val="default"/>
    <w:sig w:usb0="00000001" w:usb1="080E0000" w:usb2="00000000" w:usb3="00000000" w:csb0="00040000" w:csb1="00000000"/>
    <w:embedRegular r:id="rId3" w:fontKey="{CCCFA78B-E79F-43CF-8063-1F6C3780B488}"/>
  </w:font>
  <w:font w:name="Arial Unicode MS">
    <w:panose1 w:val="020B0604020202020204"/>
    <w:charset w:val="86"/>
    <w:family w:val="roman"/>
    <w:pitch w:val="default"/>
    <w:sig w:usb0="FFFFFFFF" w:usb1="E9FFFFFF" w:usb2="0000003F" w:usb3="00000000" w:csb0="603F01FF" w:csb1="FFFF0000"/>
    <w:embedRegular r:id="rId4" w:fontKey="{D7F73116-442E-4D86-AD9C-1B30D6192DA6}"/>
  </w:font>
  <w:font w:name="方正仿宋_GBK">
    <w:panose1 w:val="02000000000000000000"/>
    <w:charset w:val="86"/>
    <w:family w:val="script"/>
    <w:pitch w:val="default"/>
    <w:sig w:usb0="00000001" w:usb1="080E0000" w:usb2="00000000" w:usb3="00000000" w:csb0="00040000" w:csb1="00000000"/>
    <w:embedRegular r:id="rId5" w:fontKey="{4A053E59-AD2D-440F-8C29-B8BB49899B0F}"/>
  </w:font>
  <w:font w:name="方正楷体_GBK">
    <w:panose1 w:val="02000000000000000000"/>
    <w:charset w:val="86"/>
    <w:family w:val="script"/>
    <w:pitch w:val="default"/>
    <w:sig w:usb0="00000001" w:usb1="080E0000" w:usb2="00000000" w:usb3="00000000" w:csb0="00040000" w:csb1="00000000"/>
    <w:embedRegular r:id="rId6" w:fontKey="{4175AE9D-9F69-4A8F-8D44-99FE785D58B8}"/>
  </w:font>
  <w:font w:name="PMingLiU-ExtB">
    <w:panose1 w:val="02020500000000000000"/>
    <w:charset w:val="88"/>
    <w:family w:val="auto"/>
    <w:pitch w:val="default"/>
    <w:sig w:usb0="8000002F" w:usb1="02000008" w:usb2="00000000" w:usb3="00000000" w:csb0="00100001" w:csb1="00000000"/>
  </w:font>
  <w:font w:name="WPSEMBED1">
    <w:panose1 w:val="020B0604020202020204"/>
    <w:charset w:val="86"/>
    <w:family w:val="auto"/>
    <w:pitch w:val="default"/>
    <w:sig w:usb0="FFFFFFFF" w:usb1="E9FFFFFF" w:usb2="0000003F" w:usb3="00000000" w:csb0="603F01FF" w:csb1="FFFF0000"/>
  </w:font>
  <w:font w:name="MS PGothic">
    <w:panose1 w:val="020B0600070205080204"/>
    <w:charset w:val="80"/>
    <w:family w:val="auto"/>
    <w:pitch w:val="default"/>
    <w:sig w:usb0="E00002FF" w:usb1="6AC7FDFB" w:usb2="08000012" w:usb3="00000000" w:csb0="4002009F" w:csb1="DFD7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4C717">
    <w:pPr>
      <w:pStyle w:val="10"/>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B8D3E">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6D3BA">
    <w:pPr>
      <w:pStyle w:val="1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EFD1B">
    <w:pPr>
      <w:pStyle w:val="10"/>
      <w:ind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566BB">
    <w:pPr>
      <w:pStyle w:val="10"/>
      <w:ind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441960"/>
              <wp:effectExtent l="0" t="0" r="0" b="0"/>
              <wp:wrapNone/>
              <wp:docPr id="1" name="文本框 5"/>
              <wp:cNvGraphicFramePr/>
              <a:graphic xmlns:a="http://schemas.openxmlformats.org/drawingml/2006/main">
                <a:graphicData uri="http://schemas.microsoft.com/office/word/2010/wordprocessingShape">
                  <wps:wsp>
                    <wps:cNvSpPr txBox="1"/>
                    <wps:spPr>
                      <a:xfrm>
                        <a:off x="0" y="0"/>
                        <a:ext cx="1828800" cy="441960"/>
                      </a:xfrm>
                      <a:prstGeom prst="rect">
                        <a:avLst/>
                      </a:prstGeom>
                      <a:noFill/>
                      <a:ln>
                        <a:noFill/>
                      </a:ln>
                      <a:effectLst/>
                    </wps:spPr>
                    <wps:txbx>
                      <w:txbxContent>
                        <w:p w14:paraId="0BC52031">
                          <w:pPr>
                            <w:pStyle w:val="10"/>
                            <w:ind w:firstLine="0" w:firstLineChars="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30</w:t>
                          </w:r>
                          <w:r>
                            <w:rPr>
                              <w:rFonts w:ascii="Times New Roman" w:hAnsi="Times New Roman"/>
                              <w:sz w:val="24"/>
                              <w:szCs w:val="24"/>
                            </w:rPr>
                            <w:fldChar w:fldCharType="end"/>
                          </w:r>
                          <w:r>
                            <w:rPr>
                              <w:rFonts w:ascii="Times New Roman" w:hAnsi="Times New Roman"/>
                              <w:sz w:val="24"/>
                              <w:szCs w:val="24"/>
                            </w:rPr>
                            <w:t xml:space="preserve"> —</w:t>
                          </w:r>
                        </w:p>
                      </w:txbxContent>
                    </wps:txbx>
                    <wps:bodyPr vert="horz" wrap="none" lIns="0" tIns="0" rIns="0" bIns="0" anchor="t" anchorCtr="0" upright="1"/>
                  </wps:wsp>
                </a:graphicData>
              </a:graphic>
            </wp:anchor>
          </w:drawing>
        </mc:Choice>
        <mc:Fallback>
          <w:pict>
            <v:shape id="文本框 5" o:spid="_x0000_s1026" o:spt="202" type="#_x0000_t202" style="position:absolute;left:0pt;margin-top:0pt;height:34.8pt;width:144pt;mso-position-horizontal:center;mso-position-horizontal-relative:margin;mso-wrap-style:none;z-index:251659264;mso-width-relative:page;mso-height-relative:page;" filled="f" stroked="f" coordsize="21600,21600" o:gfxdata="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KHTbgTSAAAABAEAAA8AAAAAAAAAAQAg&#10;AAAAIgAAAGRycy9kb3ducmV2LnhtbFBLAQIUABQAAAAIAIdO4kC2977i2wEAALEDAAAOAAAAAAAA&#10;AAEAIAAAACEBAABkcnMvZTJvRG9jLnhtbFBLBQYAAAAABgAGAFkBAABuBQAAAAA=&#10;">
              <v:fill on="f" focussize="0,0"/>
              <v:stroke on="f"/>
              <v:imagedata o:title=""/>
              <o:lock v:ext="edit" aspectratio="f"/>
              <v:textbox inset="0mm,0mm,0mm,0mm">
                <w:txbxContent>
                  <w:p w14:paraId="0BC52031">
                    <w:pPr>
                      <w:pStyle w:val="10"/>
                      <w:ind w:firstLine="0" w:firstLineChars="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30</w:t>
                    </w:r>
                    <w:r>
                      <w:rPr>
                        <w:rFonts w:ascii="Times New Roman" w:hAnsi="Times New Roman"/>
                        <w:sz w:val="24"/>
                        <w:szCs w:val="24"/>
                      </w:rPr>
                      <w:fldChar w:fldCharType="end"/>
                    </w:r>
                    <w:r>
                      <w:rPr>
                        <w:rFonts w:ascii="Times New Roman" w:hAnsi="Times New Roman"/>
                        <w:sz w:val="24"/>
                        <w:szCs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4116A">
    <w:pPr>
      <w:ind w:left="64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962B5">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7B231">
    <w:pPr>
      <w:pStyle w:val="11"/>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9FC1B">
    <w:pPr>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3D28E0"/>
    <w:multiLevelType w:val="singleLevel"/>
    <w:tmpl w:val="933D28E0"/>
    <w:lvl w:ilvl="0" w:tentative="0">
      <w:start w:val="1"/>
      <w:numFmt w:val="decimal"/>
      <w:lvlText w:val="%1."/>
      <w:lvlJc w:val="left"/>
      <w:pPr>
        <w:tabs>
          <w:tab w:val="left" w:pos="312"/>
        </w:tabs>
      </w:pPr>
    </w:lvl>
  </w:abstractNum>
  <w:abstractNum w:abstractNumId="1">
    <w:nsid w:val="AA47BBED"/>
    <w:multiLevelType w:val="singleLevel"/>
    <w:tmpl w:val="AA47BBED"/>
    <w:lvl w:ilvl="0" w:tentative="0">
      <w:start w:val="1"/>
      <w:numFmt w:val="decimal"/>
      <w:lvlText w:val="%1."/>
      <w:lvlJc w:val="left"/>
      <w:pPr>
        <w:tabs>
          <w:tab w:val="left" w:pos="312"/>
        </w:tabs>
      </w:pPr>
    </w:lvl>
  </w:abstractNum>
  <w:abstractNum w:abstractNumId="2">
    <w:nsid w:val="C3A6720E"/>
    <w:multiLevelType w:val="singleLevel"/>
    <w:tmpl w:val="C3A6720E"/>
    <w:lvl w:ilvl="0" w:tentative="0">
      <w:start w:val="1"/>
      <w:numFmt w:val="decimal"/>
      <w:lvlText w:val="%1."/>
      <w:lvlJc w:val="left"/>
      <w:pPr>
        <w:tabs>
          <w:tab w:val="left" w:pos="312"/>
        </w:tabs>
      </w:pPr>
    </w:lvl>
  </w:abstractNum>
  <w:abstractNum w:abstractNumId="3">
    <w:nsid w:val="12C388DA"/>
    <w:multiLevelType w:val="singleLevel"/>
    <w:tmpl w:val="12C388DA"/>
    <w:lvl w:ilvl="0" w:tentative="0">
      <w:start w:val="1"/>
      <w:numFmt w:val="decimal"/>
      <w:lvlText w:val="%1."/>
      <w:lvlJc w:val="left"/>
      <w:pPr>
        <w:tabs>
          <w:tab w:val="left" w:pos="312"/>
        </w:tabs>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HorizontalSpacing w:val="164"/>
  <w:drawingGridVerticalSpacing w:val="230"/>
  <w:noPunctuationKerning w:val="1"/>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JkZGNhNTEwM2IzMTZmODFlZDk4M2I1OTlkZGQyZDAifQ=="/>
  </w:docVars>
  <w:rsids>
    <w:rsidRoot w:val="00AB2997"/>
    <w:rsid w:val="0000216E"/>
    <w:rsid w:val="00002709"/>
    <w:rsid w:val="00002D1D"/>
    <w:rsid w:val="00002DBA"/>
    <w:rsid w:val="00005A4F"/>
    <w:rsid w:val="00007A95"/>
    <w:rsid w:val="00013BAA"/>
    <w:rsid w:val="00014E93"/>
    <w:rsid w:val="00016CDB"/>
    <w:rsid w:val="000175EC"/>
    <w:rsid w:val="00017903"/>
    <w:rsid w:val="00020DAD"/>
    <w:rsid w:val="00022C06"/>
    <w:rsid w:val="00022FCC"/>
    <w:rsid w:val="00025008"/>
    <w:rsid w:val="00027960"/>
    <w:rsid w:val="00030DC0"/>
    <w:rsid w:val="00033CBF"/>
    <w:rsid w:val="0003447F"/>
    <w:rsid w:val="00034DA3"/>
    <w:rsid w:val="00035DCF"/>
    <w:rsid w:val="000374FF"/>
    <w:rsid w:val="000403F8"/>
    <w:rsid w:val="0004327D"/>
    <w:rsid w:val="00044372"/>
    <w:rsid w:val="00045702"/>
    <w:rsid w:val="000458F6"/>
    <w:rsid w:val="000471E5"/>
    <w:rsid w:val="000512ED"/>
    <w:rsid w:val="000516FA"/>
    <w:rsid w:val="00052D36"/>
    <w:rsid w:val="0005683B"/>
    <w:rsid w:val="00056A59"/>
    <w:rsid w:val="00062282"/>
    <w:rsid w:val="000623DE"/>
    <w:rsid w:val="00064FC8"/>
    <w:rsid w:val="00071D51"/>
    <w:rsid w:val="00074097"/>
    <w:rsid w:val="00076B1F"/>
    <w:rsid w:val="000807CD"/>
    <w:rsid w:val="00082A62"/>
    <w:rsid w:val="0008375A"/>
    <w:rsid w:val="00084256"/>
    <w:rsid w:val="00096E01"/>
    <w:rsid w:val="000B1B76"/>
    <w:rsid w:val="000B458B"/>
    <w:rsid w:val="000B507D"/>
    <w:rsid w:val="000B65A4"/>
    <w:rsid w:val="000B6E14"/>
    <w:rsid w:val="000B7D42"/>
    <w:rsid w:val="000C0C47"/>
    <w:rsid w:val="000C36DF"/>
    <w:rsid w:val="000C474D"/>
    <w:rsid w:val="000C4822"/>
    <w:rsid w:val="000C48A1"/>
    <w:rsid w:val="000C4A0A"/>
    <w:rsid w:val="000C538C"/>
    <w:rsid w:val="000C5AD7"/>
    <w:rsid w:val="000C60EA"/>
    <w:rsid w:val="000C6B98"/>
    <w:rsid w:val="000C6CA5"/>
    <w:rsid w:val="000D04A3"/>
    <w:rsid w:val="000D2D62"/>
    <w:rsid w:val="000D3541"/>
    <w:rsid w:val="000D57C1"/>
    <w:rsid w:val="000D7E11"/>
    <w:rsid w:val="000D7ED6"/>
    <w:rsid w:val="000E03F7"/>
    <w:rsid w:val="000E290B"/>
    <w:rsid w:val="000E3A41"/>
    <w:rsid w:val="000E5A2A"/>
    <w:rsid w:val="000E6AC7"/>
    <w:rsid w:val="000F04BB"/>
    <w:rsid w:val="000F296A"/>
    <w:rsid w:val="000F3258"/>
    <w:rsid w:val="0010181D"/>
    <w:rsid w:val="00101CA8"/>
    <w:rsid w:val="0010202B"/>
    <w:rsid w:val="0010290C"/>
    <w:rsid w:val="001031CA"/>
    <w:rsid w:val="00105621"/>
    <w:rsid w:val="001106D2"/>
    <w:rsid w:val="001129A3"/>
    <w:rsid w:val="00117FDA"/>
    <w:rsid w:val="00120356"/>
    <w:rsid w:val="0012112B"/>
    <w:rsid w:val="0012363A"/>
    <w:rsid w:val="001240EC"/>
    <w:rsid w:val="001257FF"/>
    <w:rsid w:val="001311B7"/>
    <w:rsid w:val="0013182F"/>
    <w:rsid w:val="00131FC9"/>
    <w:rsid w:val="00134966"/>
    <w:rsid w:val="00135D84"/>
    <w:rsid w:val="00136A88"/>
    <w:rsid w:val="0014161C"/>
    <w:rsid w:val="0014268D"/>
    <w:rsid w:val="00142E96"/>
    <w:rsid w:val="00144A07"/>
    <w:rsid w:val="00146033"/>
    <w:rsid w:val="0014791B"/>
    <w:rsid w:val="00147C42"/>
    <w:rsid w:val="00151471"/>
    <w:rsid w:val="00151CBB"/>
    <w:rsid w:val="001522A8"/>
    <w:rsid w:val="00152FDC"/>
    <w:rsid w:val="00154928"/>
    <w:rsid w:val="001557F0"/>
    <w:rsid w:val="00157F45"/>
    <w:rsid w:val="00160E7C"/>
    <w:rsid w:val="00161A11"/>
    <w:rsid w:val="001645A9"/>
    <w:rsid w:val="001659DB"/>
    <w:rsid w:val="0016648D"/>
    <w:rsid w:val="00167D2A"/>
    <w:rsid w:val="00170275"/>
    <w:rsid w:val="00170877"/>
    <w:rsid w:val="00171213"/>
    <w:rsid w:val="00172A90"/>
    <w:rsid w:val="001764E8"/>
    <w:rsid w:val="00180AE8"/>
    <w:rsid w:val="00181EA0"/>
    <w:rsid w:val="001828AF"/>
    <w:rsid w:val="001830DB"/>
    <w:rsid w:val="00183149"/>
    <w:rsid w:val="00184714"/>
    <w:rsid w:val="0018493A"/>
    <w:rsid w:val="001874EF"/>
    <w:rsid w:val="001877F6"/>
    <w:rsid w:val="00191E27"/>
    <w:rsid w:val="00192D1F"/>
    <w:rsid w:val="00197227"/>
    <w:rsid w:val="001A2FF9"/>
    <w:rsid w:val="001A3243"/>
    <w:rsid w:val="001A3443"/>
    <w:rsid w:val="001A3EC0"/>
    <w:rsid w:val="001A5A1D"/>
    <w:rsid w:val="001A7F66"/>
    <w:rsid w:val="001A7FA3"/>
    <w:rsid w:val="001B0A36"/>
    <w:rsid w:val="001B1877"/>
    <w:rsid w:val="001C1024"/>
    <w:rsid w:val="001C30A7"/>
    <w:rsid w:val="001C66E9"/>
    <w:rsid w:val="001C7614"/>
    <w:rsid w:val="001D073E"/>
    <w:rsid w:val="001D11C8"/>
    <w:rsid w:val="001D340B"/>
    <w:rsid w:val="001D3769"/>
    <w:rsid w:val="001D5D51"/>
    <w:rsid w:val="001D6810"/>
    <w:rsid w:val="001D7605"/>
    <w:rsid w:val="001D7AE4"/>
    <w:rsid w:val="001E4063"/>
    <w:rsid w:val="001E5C1A"/>
    <w:rsid w:val="001E68D9"/>
    <w:rsid w:val="001E6D3A"/>
    <w:rsid w:val="001F4626"/>
    <w:rsid w:val="001F4960"/>
    <w:rsid w:val="00202E10"/>
    <w:rsid w:val="002035F2"/>
    <w:rsid w:val="00203917"/>
    <w:rsid w:val="00204803"/>
    <w:rsid w:val="00213A86"/>
    <w:rsid w:val="00213D64"/>
    <w:rsid w:val="00214CCE"/>
    <w:rsid w:val="00221126"/>
    <w:rsid w:val="00225838"/>
    <w:rsid w:val="0022639D"/>
    <w:rsid w:val="002264E2"/>
    <w:rsid w:val="00226CC8"/>
    <w:rsid w:val="00226FD9"/>
    <w:rsid w:val="002316FA"/>
    <w:rsid w:val="002324EA"/>
    <w:rsid w:val="002344D4"/>
    <w:rsid w:val="002354B7"/>
    <w:rsid w:val="002370FB"/>
    <w:rsid w:val="002379BC"/>
    <w:rsid w:val="00241648"/>
    <w:rsid w:val="00245174"/>
    <w:rsid w:val="00245467"/>
    <w:rsid w:val="00246319"/>
    <w:rsid w:val="00247279"/>
    <w:rsid w:val="002553CC"/>
    <w:rsid w:val="0025654B"/>
    <w:rsid w:val="002615BF"/>
    <w:rsid w:val="00262B99"/>
    <w:rsid w:val="00271274"/>
    <w:rsid w:val="0027576D"/>
    <w:rsid w:val="00275DBD"/>
    <w:rsid w:val="002806E8"/>
    <w:rsid w:val="00282CF2"/>
    <w:rsid w:val="00285B2D"/>
    <w:rsid w:val="002912CC"/>
    <w:rsid w:val="00293856"/>
    <w:rsid w:val="002943B0"/>
    <w:rsid w:val="00295DA5"/>
    <w:rsid w:val="00297DBD"/>
    <w:rsid w:val="002A1B82"/>
    <w:rsid w:val="002A3E6B"/>
    <w:rsid w:val="002A470D"/>
    <w:rsid w:val="002A48C3"/>
    <w:rsid w:val="002A7BA2"/>
    <w:rsid w:val="002B205D"/>
    <w:rsid w:val="002B2913"/>
    <w:rsid w:val="002B52C4"/>
    <w:rsid w:val="002B6FDB"/>
    <w:rsid w:val="002C09E2"/>
    <w:rsid w:val="002C14EA"/>
    <w:rsid w:val="002C172D"/>
    <w:rsid w:val="002C5DD6"/>
    <w:rsid w:val="002C7E1E"/>
    <w:rsid w:val="002D03DF"/>
    <w:rsid w:val="002D336E"/>
    <w:rsid w:val="002D3E68"/>
    <w:rsid w:val="002D49D4"/>
    <w:rsid w:val="002D52CF"/>
    <w:rsid w:val="002D651D"/>
    <w:rsid w:val="002E0044"/>
    <w:rsid w:val="002E0872"/>
    <w:rsid w:val="002E0A23"/>
    <w:rsid w:val="002E0C27"/>
    <w:rsid w:val="002E2F58"/>
    <w:rsid w:val="002E40BF"/>
    <w:rsid w:val="002E52D5"/>
    <w:rsid w:val="002E5C62"/>
    <w:rsid w:val="002F0405"/>
    <w:rsid w:val="002F33D4"/>
    <w:rsid w:val="002F568A"/>
    <w:rsid w:val="002F6574"/>
    <w:rsid w:val="00305289"/>
    <w:rsid w:val="003058B5"/>
    <w:rsid w:val="00306F0A"/>
    <w:rsid w:val="0030778D"/>
    <w:rsid w:val="00311644"/>
    <w:rsid w:val="0031236C"/>
    <w:rsid w:val="003168DE"/>
    <w:rsid w:val="00320C20"/>
    <w:rsid w:val="00325AEF"/>
    <w:rsid w:val="00330655"/>
    <w:rsid w:val="003415CC"/>
    <w:rsid w:val="00342D7D"/>
    <w:rsid w:val="0034525D"/>
    <w:rsid w:val="00345AFB"/>
    <w:rsid w:val="0034762C"/>
    <w:rsid w:val="00350528"/>
    <w:rsid w:val="00350715"/>
    <w:rsid w:val="003554B9"/>
    <w:rsid w:val="00355D57"/>
    <w:rsid w:val="00360491"/>
    <w:rsid w:val="00360C29"/>
    <w:rsid w:val="00364900"/>
    <w:rsid w:val="00366413"/>
    <w:rsid w:val="00367DF1"/>
    <w:rsid w:val="003731FD"/>
    <w:rsid w:val="0037403E"/>
    <w:rsid w:val="00374A59"/>
    <w:rsid w:val="003757A1"/>
    <w:rsid w:val="00376456"/>
    <w:rsid w:val="00376E03"/>
    <w:rsid w:val="003807CD"/>
    <w:rsid w:val="00391392"/>
    <w:rsid w:val="00392384"/>
    <w:rsid w:val="00395B4B"/>
    <w:rsid w:val="003A0F50"/>
    <w:rsid w:val="003A2B21"/>
    <w:rsid w:val="003A2E27"/>
    <w:rsid w:val="003A6101"/>
    <w:rsid w:val="003A75EC"/>
    <w:rsid w:val="003B0CE8"/>
    <w:rsid w:val="003B3378"/>
    <w:rsid w:val="003C31A0"/>
    <w:rsid w:val="003C38E0"/>
    <w:rsid w:val="003C3BBA"/>
    <w:rsid w:val="003C66A2"/>
    <w:rsid w:val="003D5FFA"/>
    <w:rsid w:val="003D61F7"/>
    <w:rsid w:val="003D6217"/>
    <w:rsid w:val="003D68FD"/>
    <w:rsid w:val="003E0713"/>
    <w:rsid w:val="003E45EE"/>
    <w:rsid w:val="003E50B9"/>
    <w:rsid w:val="003E591E"/>
    <w:rsid w:val="003E6ACF"/>
    <w:rsid w:val="003F10D7"/>
    <w:rsid w:val="003F2438"/>
    <w:rsid w:val="003F2D22"/>
    <w:rsid w:val="003F4DB0"/>
    <w:rsid w:val="003F73EA"/>
    <w:rsid w:val="004027D9"/>
    <w:rsid w:val="00402A3B"/>
    <w:rsid w:val="00402E31"/>
    <w:rsid w:val="00403C32"/>
    <w:rsid w:val="004041C5"/>
    <w:rsid w:val="00411452"/>
    <w:rsid w:val="0041326E"/>
    <w:rsid w:val="00413F84"/>
    <w:rsid w:val="00414F72"/>
    <w:rsid w:val="004151AC"/>
    <w:rsid w:val="00415E90"/>
    <w:rsid w:val="00420085"/>
    <w:rsid w:val="00423E6E"/>
    <w:rsid w:val="00432BCF"/>
    <w:rsid w:val="00433BF3"/>
    <w:rsid w:val="00433DCE"/>
    <w:rsid w:val="004355BA"/>
    <w:rsid w:val="0043714E"/>
    <w:rsid w:val="0044032F"/>
    <w:rsid w:val="004453B5"/>
    <w:rsid w:val="00453BB6"/>
    <w:rsid w:val="0045483A"/>
    <w:rsid w:val="00455887"/>
    <w:rsid w:val="00455CF8"/>
    <w:rsid w:val="00456435"/>
    <w:rsid w:val="00456D42"/>
    <w:rsid w:val="00460C2B"/>
    <w:rsid w:val="00460F22"/>
    <w:rsid w:val="004613E8"/>
    <w:rsid w:val="004617F1"/>
    <w:rsid w:val="00463555"/>
    <w:rsid w:val="00464AE4"/>
    <w:rsid w:val="00470A5C"/>
    <w:rsid w:val="004718A4"/>
    <w:rsid w:val="004737C3"/>
    <w:rsid w:val="00473C3B"/>
    <w:rsid w:val="00477B5A"/>
    <w:rsid w:val="00477CF3"/>
    <w:rsid w:val="004803C2"/>
    <w:rsid w:val="00480E16"/>
    <w:rsid w:val="0048402F"/>
    <w:rsid w:val="00487ADE"/>
    <w:rsid w:val="00487E6D"/>
    <w:rsid w:val="00490303"/>
    <w:rsid w:val="004908A2"/>
    <w:rsid w:val="0049150C"/>
    <w:rsid w:val="00491EF4"/>
    <w:rsid w:val="00492446"/>
    <w:rsid w:val="00492FE4"/>
    <w:rsid w:val="004976E1"/>
    <w:rsid w:val="004A176B"/>
    <w:rsid w:val="004A62B9"/>
    <w:rsid w:val="004A7FD1"/>
    <w:rsid w:val="004B0EA1"/>
    <w:rsid w:val="004B3ED1"/>
    <w:rsid w:val="004B47D7"/>
    <w:rsid w:val="004C002C"/>
    <w:rsid w:val="004C4C9A"/>
    <w:rsid w:val="004C5318"/>
    <w:rsid w:val="004C536B"/>
    <w:rsid w:val="004C6A20"/>
    <w:rsid w:val="004C6F7C"/>
    <w:rsid w:val="004E4F48"/>
    <w:rsid w:val="004E6DB0"/>
    <w:rsid w:val="004E769F"/>
    <w:rsid w:val="004F0234"/>
    <w:rsid w:val="004F134A"/>
    <w:rsid w:val="004F1454"/>
    <w:rsid w:val="004F4BBC"/>
    <w:rsid w:val="004F4CF6"/>
    <w:rsid w:val="004F567B"/>
    <w:rsid w:val="00501B04"/>
    <w:rsid w:val="00503472"/>
    <w:rsid w:val="005050FB"/>
    <w:rsid w:val="00506152"/>
    <w:rsid w:val="00506750"/>
    <w:rsid w:val="00506CC9"/>
    <w:rsid w:val="005072B6"/>
    <w:rsid w:val="0051284D"/>
    <w:rsid w:val="00513727"/>
    <w:rsid w:val="0052404D"/>
    <w:rsid w:val="00526238"/>
    <w:rsid w:val="00531608"/>
    <w:rsid w:val="00532E4B"/>
    <w:rsid w:val="00535068"/>
    <w:rsid w:val="00537D82"/>
    <w:rsid w:val="005400B3"/>
    <w:rsid w:val="00541F71"/>
    <w:rsid w:val="005439F0"/>
    <w:rsid w:val="005453F9"/>
    <w:rsid w:val="00547010"/>
    <w:rsid w:val="005475F7"/>
    <w:rsid w:val="00547774"/>
    <w:rsid w:val="00551453"/>
    <w:rsid w:val="0055420D"/>
    <w:rsid w:val="005543E1"/>
    <w:rsid w:val="00555097"/>
    <w:rsid w:val="0055683E"/>
    <w:rsid w:val="005607F5"/>
    <w:rsid w:val="005679FC"/>
    <w:rsid w:val="00572FF4"/>
    <w:rsid w:val="00573615"/>
    <w:rsid w:val="00576AAD"/>
    <w:rsid w:val="00577AD6"/>
    <w:rsid w:val="005815C2"/>
    <w:rsid w:val="005817CA"/>
    <w:rsid w:val="005828C9"/>
    <w:rsid w:val="005924F2"/>
    <w:rsid w:val="005926D1"/>
    <w:rsid w:val="00597E37"/>
    <w:rsid w:val="005A0E3E"/>
    <w:rsid w:val="005A25C6"/>
    <w:rsid w:val="005A2A47"/>
    <w:rsid w:val="005A41DF"/>
    <w:rsid w:val="005A50FE"/>
    <w:rsid w:val="005A6BA6"/>
    <w:rsid w:val="005B0A43"/>
    <w:rsid w:val="005B0EFB"/>
    <w:rsid w:val="005B18A4"/>
    <w:rsid w:val="005B312F"/>
    <w:rsid w:val="005B4596"/>
    <w:rsid w:val="005B5423"/>
    <w:rsid w:val="005C02A6"/>
    <w:rsid w:val="005C090D"/>
    <w:rsid w:val="005C0B38"/>
    <w:rsid w:val="005C537B"/>
    <w:rsid w:val="005C5C59"/>
    <w:rsid w:val="005C62B3"/>
    <w:rsid w:val="005C7D11"/>
    <w:rsid w:val="005D05D0"/>
    <w:rsid w:val="005D4813"/>
    <w:rsid w:val="005D60CE"/>
    <w:rsid w:val="005D61E3"/>
    <w:rsid w:val="005D758E"/>
    <w:rsid w:val="005E4811"/>
    <w:rsid w:val="005E48B3"/>
    <w:rsid w:val="005E5201"/>
    <w:rsid w:val="005F09F3"/>
    <w:rsid w:val="005F193B"/>
    <w:rsid w:val="005F40D2"/>
    <w:rsid w:val="005F48AC"/>
    <w:rsid w:val="00602A8B"/>
    <w:rsid w:val="00605ADA"/>
    <w:rsid w:val="00612079"/>
    <w:rsid w:val="006137CF"/>
    <w:rsid w:val="006157FE"/>
    <w:rsid w:val="006158EB"/>
    <w:rsid w:val="00620C08"/>
    <w:rsid w:val="0062313C"/>
    <w:rsid w:val="006262ED"/>
    <w:rsid w:val="00627C32"/>
    <w:rsid w:val="00630446"/>
    <w:rsid w:val="00633466"/>
    <w:rsid w:val="00635A23"/>
    <w:rsid w:val="00635F74"/>
    <w:rsid w:val="00640415"/>
    <w:rsid w:val="00651639"/>
    <w:rsid w:val="00651AAD"/>
    <w:rsid w:val="0065211E"/>
    <w:rsid w:val="00653B28"/>
    <w:rsid w:val="0065490A"/>
    <w:rsid w:val="00656A0F"/>
    <w:rsid w:val="00660F48"/>
    <w:rsid w:val="006628EB"/>
    <w:rsid w:val="0066777E"/>
    <w:rsid w:val="006700C9"/>
    <w:rsid w:val="006745DD"/>
    <w:rsid w:val="00674748"/>
    <w:rsid w:val="006818A8"/>
    <w:rsid w:val="00681EC2"/>
    <w:rsid w:val="00684B0C"/>
    <w:rsid w:val="00687D75"/>
    <w:rsid w:val="00691BB9"/>
    <w:rsid w:val="00692EF7"/>
    <w:rsid w:val="006A2B07"/>
    <w:rsid w:val="006A2C90"/>
    <w:rsid w:val="006A69CA"/>
    <w:rsid w:val="006A7C40"/>
    <w:rsid w:val="006B24DA"/>
    <w:rsid w:val="006B2BAF"/>
    <w:rsid w:val="006B7466"/>
    <w:rsid w:val="006C02CF"/>
    <w:rsid w:val="006C2869"/>
    <w:rsid w:val="006C5677"/>
    <w:rsid w:val="006C5C54"/>
    <w:rsid w:val="006C6E56"/>
    <w:rsid w:val="006C702C"/>
    <w:rsid w:val="006C76F7"/>
    <w:rsid w:val="006C7900"/>
    <w:rsid w:val="006C7DBD"/>
    <w:rsid w:val="006D0191"/>
    <w:rsid w:val="006D1432"/>
    <w:rsid w:val="006D360E"/>
    <w:rsid w:val="006D763C"/>
    <w:rsid w:val="006E4F40"/>
    <w:rsid w:val="006E60C2"/>
    <w:rsid w:val="006E74E0"/>
    <w:rsid w:val="006F14E8"/>
    <w:rsid w:val="006F76CE"/>
    <w:rsid w:val="006F7F88"/>
    <w:rsid w:val="00701290"/>
    <w:rsid w:val="00703B84"/>
    <w:rsid w:val="007041E1"/>
    <w:rsid w:val="00704697"/>
    <w:rsid w:val="007052D7"/>
    <w:rsid w:val="0071274F"/>
    <w:rsid w:val="007127F5"/>
    <w:rsid w:val="00713D98"/>
    <w:rsid w:val="007143D7"/>
    <w:rsid w:val="00716935"/>
    <w:rsid w:val="007205E7"/>
    <w:rsid w:val="00720FBB"/>
    <w:rsid w:val="00721821"/>
    <w:rsid w:val="00721943"/>
    <w:rsid w:val="0072195F"/>
    <w:rsid w:val="00721B28"/>
    <w:rsid w:val="007229F0"/>
    <w:rsid w:val="007230C4"/>
    <w:rsid w:val="00723A04"/>
    <w:rsid w:val="00725583"/>
    <w:rsid w:val="00725BED"/>
    <w:rsid w:val="0072762B"/>
    <w:rsid w:val="00732BC4"/>
    <w:rsid w:val="00733B41"/>
    <w:rsid w:val="00734C43"/>
    <w:rsid w:val="00735CDF"/>
    <w:rsid w:val="00736514"/>
    <w:rsid w:val="00737B36"/>
    <w:rsid w:val="0074433E"/>
    <w:rsid w:val="00745407"/>
    <w:rsid w:val="00745D3A"/>
    <w:rsid w:val="00745E15"/>
    <w:rsid w:val="007523B7"/>
    <w:rsid w:val="00763223"/>
    <w:rsid w:val="007679A3"/>
    <w:rsid w:val="00767C45"/>
    <w:rsid w:val="00770167"/>
    <w:rsid w:val="00770BE4"/>
    <w:rsid w:val="0077132C"/>
    <w:rsid w:val="00771D79"/>
    <w:rsid w:val="00771E59"/>
    <w:rsid w:val="00773039"/>
    <w:rsid w:val="007744C8"/>
    <w:rsid w:val="00774970"/>
    <w:rsid w:val="007772E2"/>
    <w:rsid w:val="00782868"/>
    <w:rsid w:val="00784222"/>
    <w:rsid w:val="007870B5"/>
    <w:rsid w:val="00791831"/>
    <w:rsid w:val="00792209"/>
    <w:rsid w:val="00792B46"/>
    <w:rsid w:val="007934CC"/>
    <w:rsid w:val="00794504"/>
    <w:rsid w:val="00794BBB"/>
    <w:rsid w:val="00795208"/>
    <w:rsid w:val="007957B4"/>
    <w:rsid w:val="00797113"/>
    <w:rsid w:val="007971D3"/>
    <w:rsid w:val="00797A52"/>
    <w:rsid w:val="007A21B3"/>
    <w:rsid w:val="007A51FC"/>
    <w:rsid w:val="007A673D"/>
    <w:rsid w:val="007B1910"/>
    <w:rsid w:val="007B46D1"/>
    <w:rsid w:val="007B5643"/>
    <w:rsid w:val="007B6517"/>
    <w:rsid w:val="007C0C5C"/>
    <w:rsid w:val="007C150C"/>
    <w:rsid w:val="007C1E17"/>
    <w:rsid w:val="007C454E"/>
    <w:rsid w:val="007C4807"/>
    <w:rsid w:val="007C4995"/>
    <w:rsid w:val="007C799B"/>
    <w:rsid w:val="007D351D"/>
    <w:rsid w:val="007D376E"/>
    <w:rsid w:val="007D42A7"/>
    <w:rsid w:val="007D4EAC"/>
    <w:rsid w:val="007D64F1"/>
    <w:rsid w:val="007D651B"/>
    <w:rsid w:val="007D723D"/>
    <w:rsid w:val="007D74E9"/>
    <w:rsid w:val="007E2981"/>
    <w:rsid w:val="007E3B6E"/>
    <w:rsid w:val="007E4B79"/>
    <w:rsid w:val="007E6318"/>
    <w:rsid w:val="007E6544"/>
    <w:rsid w:val="007E6797"/>
    <w:rsid w:val="007E69C0"/>
    <w:rsid w:val="007E70AB"/>
    <w:rsid w:val="007E78B6"/>
    <w:rsid w:val="007F3695"/>
    <w:rsid w:val="007F4025"/>
    <w:rsid w:val="007F4682"/>
    <w:rsid w:val="007F6042"/>
    <w:rsid w:val="007F62C3"/>
    <w:rsid w:val="007F7BA1"/>
    <w:rsid w:val="00801081"/>
    <w:rsid w:val="008015FE"/>
    <w:rsid w:val="008023CA"/>
    <w:rsid w:val="00802883"/>
    <w:rsid w:val="00802F44"/>
    <w:rsid w:val="00807509"/>
    <w:rsid w:val="00807746"/>
    <w:rsid w:val="00807A64"/>
    <w:rsid w:val="00812190"/>
    <w:rsid w:val="0081494A"/>
    <w:rsid w:val="00816E0C"/>
    <w:rsid w:val="008224C3"/>
    <w:rsid w:val="00823C8C"/>
    <w:rsid w:val="008241CA"/>
    <w:rsid w:val="00825367"/>
    <w:rsid w:val="0082608E"/>
    <w:rsid w:val="00830C95"/>
    <w:rsid w:val="00830CC8"/>
    <w:rsid w:val="008363CC"/>
    <w:rsid w:val="00837EE6"/>
    <w:rsid w:val="008402D4"/>
    <w:rsid w:val="00840E29"/>
    <w:rsid w:val="00841CBB"/>
    <w:rsid w:val="008420D7"/>
    <w:rsid w:val="008428B2"/>
    <w:rsid w:val="008445C6"/>
    <w:rsid w:val="0084610D"/>
    <w:rsid w:val="00847047"/>
    <w:rsid w:val="00847138"/>
    <w:rsid w:val="00852271"/>
    <w:rsid w:val="008529F7"/>
    <w:rsid w:val="00852AD9"/>
    <w:rsid w:val="00852B5D"/>
    <w:rsid w:val="008534E7"/>
    <w:rsid w:val="0085642A"/>
    <w:rsid w:val="008607A4"/>
    <w:rsid w:val="008609E3"/>
    <w:rsid w:val="00860BD0"/>
    <w:rsid w:val="0086798D"/>
    <w:rsid w:val="00867AE7"/>
    <w:rsid w:val="00872305"/>
    <w:rsid w:val="00872F86"/>
    <w:rsid w:val="008739AE"/>
    <w:rsid w:val="008755B6"/>
    <w:rsid w:val="00876043"/>
    <w:rsid w:val="00876934"/>
    <w:rsid w:val="00883CD1"/>
    <w:rsid w:val="00883DC2"/>
    <w:rsid w:val="00885721"/>
    <w:rsid w:val="00886879"/>
    <w:rsid w:val="00886CBF"/>
    <w:rsid w:val="00887499"/>
    <w:rsid w:val="0089052C"/>
    <w:rsid w:val="00894B39"/>
    <w:rsid w:val="008A1B7A"/>
    <w:rsid w:val="008A1C0D"/>
    <w:rsid w:val="008A4175"/>
    <w:rsid w:val="008A48EB"/>
    <w:rsid w:val="008B0A0A"/>
    <w:rsid w:val="008B0A8B"/>
    <w:rsid w:val="008B6EE8"/>
    <w:rsid w:val="008C28DD"/>
    <w:rsid w:val="008C3071"/>
    <w:rsid w:val="008C35EA"/>
    <w:rsid w:val="008C60E3"/>
    <w:rsid w:val="008C6A18"/>
    <w:rsid w:val="008D0209"/>
    <w:rsid w:val="008D0F9D"/>
    <w:rsid w:val="008D47AA"/>
    <w:rsid w:val="008D4DC0"/>
    <w:rsid w:val="008D5C43"/>
    <w:rsid w:val="008E049B"/>
    <w:rsid w:val="008E11FB"/>
    <w:rsid w:val="008E2965"/>
    <w:rsid w:val="008E2EE6"/>
    <w:rsid w:val="008E621B"/>
    <w:rsid w:val="008F10EC"/>
    <w:rsid w:val="008F20CF"/>
    <w:rsid w:val="008F284A"/>
    <w:rsid w:val="008F4127"/>
    <w:rsid w:val="008F4F65"/>
    <w:rsid w:val="008F7CDF"/>
    <w:rsid w:val="009018DD"/>
    <w:rsid w:val="00903728"/>
    <w:rsid w:val="00904959"/>
    <w:rsid w:val="009050FB"/>
    <w:rsid w:val="00911C90"/>
    <w:rsid w:val="00912F43"/>
    <w:rsid w:val="009154BB"/>
    <w:rsid w:val="00916981"/>
    <w:rsid w:val="009173B0"/>
    <w:rsid w:val="009200BC"/>
    <w:rsid w:val="009202A7"/>
    <w:rsid w:val="009226D1"/>
    <w:rsid w:val="00922CEF"/>
    <w:rsid w:val="00922F8A"/>
    <w:rsid w:val="00926F55"/>
    <w:rsid w:val="00931952"/>
    <w:rsid w:val="00933426"/>
    <w:rsid w:val="009336DB"/>
    <w:rsid w:val="009337E2"/>
    <w:rsid w:val="00933DDB"/>
    <w:rsid w:val="009355BA"/>
    <w:rsid w:val="00935D7A"/>
    <w:rsid w:val="00940FBF"/>
    <w:rsid w:val="00944A42"/>
    <w:rsid w:val="009501B6"/>
    <w:rsid w:val="009516CE"/>
    <w:rsid w:val="0095312F"/>
    <w:rsid w:val="00953D7E"/>
    <w:rsid w:val="00953F76"/>
    <w:rsid w:val="00957FED"/>
    <w:rsid w:val="00965484"/>
    <w:rsid w:val="009655D2"/>
    <w:rsid w:val="0097126E"/>
    <w:rsid w:val="009712ED"/>
    <w:rsid w:val="0097418C"/>
    <w:rsid w:val="0098049F"/>
    <w:rsid w:val="00982FD4"/>
    <w:rsid w:val="00983C6B"/>
    <w:rsid w:val="00984253"/>
    <w:rsid w:val="0098592D"/>
    <w:rsid w:val="0099011E"/>
    <w:rsid w:val="00994385"/>
    <w:rsid w:val="00994FCF"/>
    <w:rsid w:val="009956D4"/>
    <w:rsid w:val="009B01DC"/>
    <w:rsid w:val="009B1C2A"/>
    <w:rsid w:val="009B55F1"/>
    <w:rsid w:val="009B749F"/>
    <w:rsid w:val="009C2BC4"/>
    <w:rsid w:val="009C38D7"/>
    <w:rsid w:val="009C39D1"/>
    <w:rsid w:val="009C5CA0"/>
    <w:rsid w:val="009D082D"/>
    <w:rsid w:val="009D12A2"/>
    <w:rsid w:val="009D1A35"/>
    <w:rsid w:val="009D23BC"/>
    <w:rsid w:val="009D32AA"/>
    <w:rsid w:val="009D35F2"/>
    <w:rsid w:val="009D5983"/>
    <w:rsid w:val="009D6CE8"/>
    <w:rsid w:val="009E04F4"/>
    <w:rsid w:val="009E23F7"/>
    <w:rsid w:val="009E5064"/>
    <w:rsid w:val="009E65A7"/>
    <w:rsid w:val="009E79DC"/>
    <w:rsid w:val="009F0EE8"/>
    <w:rsid w:val="009F1944"/>
    <w:rsid w:val="009F265B"/>
    <w:rsid w:val="009F7B57"/>
    <w:rsid w:val="00A00CE6"/>
    <w:rsid w:val="00A01C84"/>
    <w:rsid w:val="00A01FAE"/>
    <w:rsid w:val="00A03EC4"/>
    <w:rsid w:val="00A05379"/>
    <w:rsid w:val="00A05B29"/>
    <w:rsid w:val="00A07981"/>
    <w:rsid w:val="00A10689"/>
    <w:rsid w:val="00A10BD4"/>
    <w:rsid w:val="00A13BDE"/>
    <w:rsid w:val="00A20E43"/>
    <w:rsid w:val="00A24F57"/>
    <w:rsid w:val="00A30669"/>
    <w:rsid w:val="00A31373"/>
    <w:rsid w:val="00A349C8"/>
    <w:rsid w:val="00A358C8"/>
    <w:rsid w:val="00A365AF"/>
    <w:rsid w:val="00A36BC9"/>
    <w:rsid w:val="00A37291"/>
    <w:rsid w:val="00A374CB"/>
    <w:rsid w:val="00A42B86"/>
    <w:rsid w:val="00A43089"/>
    <w:rsid w:val="00A43C91"/>
    <w:rsid w:val="00A46D68"/>
    <w:rsid w:val="00A518C2"/>
    <w:rsid w:val="00A51DA7"/>
    <w:rsid w:val="00A52910"/>
    <w:rsid w:val="00A52CE9"/>
    <w:rsid w:val="00A55E07"/>
    <w:rsid w:val="00A56ED5"/>
    <w:rsid w:val="00A5733D"/>
    <w:rsid w:val="00A573F2"/>
    <w:rsid w:val="00A60A7A"/>
    <w:rsid w:val="00A63502"/>
    <w:rsid w:val="00A719FB"/>
    <w:rsid w:val="00A7209A"/>
    <w:rsid w:val="00A73A25"/>
    <w:rsid w:val="00A73A96"/>
    <w:rsid w:val="00A73E29"/>
    <w:rsid w:val="00A73FBA"/>
    <w:rsid w:val="00A7426F"/>
    <w:rsid w:val="00A807D7"/>
    <w:rsid w:val="00A80B1F"/>
    <w:rsid w:val="00A834B8"/>
    <w:rsid w:val="00A83820"/>
    <w:rsid w:val="00A85269"/>
    <w:rsid w:val="00A8556B"/>
    <w:rsid w:val="00A87869"/>
    <w:rsid w:val="00A90048"/>
    <w:rsid w:val="00A92043"/>
    <w:rsid w:val="00A92DEE"/>
    <w:rsid w:val="00A95A9A"/>
    <w:rsid w:val="00A97347"/>
    <w:rsid w:val="00AA11F7"/>
    <w:rsid w:val="00AA78ED"/>
    <w:rsid w:val="00AB2997"/>
    <w:rsid w:val="00AB316F"/>
    <w:rsid w:val="00AB3CB2"/>
    <w:rsid w:val="00AB3EB0"/>
    <w:rsid w:val="00AB4E20"/>
    <w:rsid w:val="00AB5F6B"/>
    <w:rsid w:val="00AB720B"/>
    <w:rsid w:val="00AB7831"/>
    <w:rsid w:val="00AC294D"/>
    <w:rsid w:val="00AC2E17"/>
    <w:rsid w:val="00AC434B"/>
    <w:rsid w:val="00AC4462"/>
    <w:rsid w:val="00AC4509"/>
    <w:rsid w:val="00AD5D9B"/>
    <w:rsid w:val="00AD7DC1"/>
    <w:rsid w:val="00AD7FBC"/>
    <w:rsid w:val="00AE03CC"/>
    <w:rsid w:val="00AE0C5C"/>
    <w:rsid w:val="00AE1988"/>
    <w:rsid w:val="00AE2B33"/>
    <w:rsid w:val="00AE3608"/>
    <w:rsid w:val="00AE7260"/>
    <w:rsid w:val="00AF0F7A"/>
    <w:rsid w:val="00AF33C4"/>
    <w:rsid w:val="00AF45AB"/>
    <w:rsid w:val="00AF55C1"/>
    <w:rsid w:val="00AF594C"/>
    <w:rsid w:val="00AF788F"/>
    <w:rsid w:val="00B006AC"/>
    <w:rsid w:val="00B007A6"/>
    <w:rsid w:val="00B016C4"/>
    <w:rsid w:val="00B017A2"/>
    <w:rsid w:val="00B021F6"/>
    <w:rsid w:val="00B02760"/>
    <w:rsid w:val="00B04CD3"/>
    <w:rsid w:val="00B10C89"/>
    <w:rsid w:val="00B12CD4"/>
    <w:rsid w:val="00B13060"/>
    <w:rsid w:val="00B15097"/>
    <w:rsid w:val="00B155B4"/>
    <w:rsid w:val="00B170AF"/>
    <w:rsid w:val="00B171B6"/>
    <w:rsid w:val="00B2012F"/>
    <w:rsid w:val="00B20C76"/>
    <w:rsid w:val="00B22556"/>
    <w:rsid w:val="00B24DCC"/>
    <w:rsid w:val="00B351F3"/>
    <w:rsid w:val="00B35655"/>
    <w:rsid w:val="00B407C7"/>
    <w:rsid w:val="00B42040"/>
    <w:rsid w:val="00B4375D"/>
    <w:rsid w:val="00B43F31"/>
    <w:rsid w:val="00B4507D"/>
    <w:rsid w:val="00B460AE"/>
    <w:rsid w:val="00B46DC6"/>
    <w:rsid w:val="00B51C27"/>
    <w:rsid w:val="00B53CFF"/>
    <w:rsid w:val="00B540C2"/>
    <w:rsid w:val="00B55032"/>
    <w:rsid w:val="00B561E2"/>
    <w:rsid w:val="00B57020"/>
    <w:rsid w:val="00B60102"/>
    <w:rsid w:val="00B62674"/>
    <w:rsid w:val="00B67EC1"/>
    <w:rsid w:val="00B70233"/>
    <w:rsid w:val="00B71719"/>
    <w:rsid w:val="00B749C9"/>
    <w:rsid w:val="00B81977"/>
    <w:rsid w:val="00B820BE"/>
    <w:rsid w:val="00B82430"/>
    <w:rsid w:val="00B837BF"/>
    <w:rsid w:val="00B849D4"/>
    <w:rsid w:val="00B85C6F"/>
    <w:rsid w:val="00B85D24"/>
    <w:rsid w:val="00B918AC"/>
    <w:rsid w:val="00B95686"/>
    <w:rsid w:val="00B96FBD"/>
    <w:rsid w:val="00B9772A"/>
    <w:rsid w:val="00BA0987"/>
    <w:rsid w:val="00BA0F89"/>
    <w:rsid w:val="00BA42DA"/>
    <w:rsid w:val="00BA6F37"/>
    <w:rsid w:val="00BA7D88"/>
    <w:rsid w:val="00BB1287"/>
    <w:rsid w:val="00BB5C47"/>
    <w:rsid w:val="00BC1A17"/>
    <w:rsid w:val="00BC27AD"/>
    <w:rsid w:val="00BC3137"/>
    <w:rsid w:val="00BC5FE7"/>
    <w:rsid w:val="00BD0B38"/>
    <w:rsid w:val="00BD1AD7"/>
    <w:rsid w:val="00BD2C55"/>
    <w:rsid w:val="00BD4037"/>
    <w:rsid w:val="00BD44D4"/>
    <w:rsid w:val="00BD7D51"/>
    <w:rsid w:val="00BE15DE"/>
    <w:rsid w:val="00BE19CC"/>
    <w:rsid w:val="00BE36F8"/>
    <w:rsid w:val="00BE75BB"/>
    <w:rsid w:val="00BE7FB9"/>
    <w:rsid w:val="00BF01EA"/>
    <w:rsid w:val="00BF02F2"/>
    <w:rsid w:val="00BF0E01"/>
    <w:rsid w:val="00BF2D8A"/>
    <w:rsid w:val="00BF4C30"/>
    <w:rsid w:val="00BF75EA"/>
    <w:rsid w:val="00C01EB2"/>
    <w:rsid w:val="00C0224A"/>
    <w:rsid w:val="00C02504"/>
    <w:rsid w:val="00C04344"/>
    <w:rsid w:val="00C06F2E"/>
    <w:rsid w:val="00C12B41"/>
    <w:rsid w:val="00C15265"/>
    <w:rsid w:val="00C152EC"/>
    <w:rsid w:val="00C15EC3"/>
    <w:rsid w:val="00C2068B"/>
    <w:rsid w:val="00C22496"/>
    <w:rsid w:val="00C23BDE"/>
    <w:rsid w:val="00C25527"/>
    <w:rsid w:val="00C272D1"/>
    <w:rsid w:val="00C27345"/>
    <w:rsid w:val="00C351F7"/>
    <w:rsid w:val="00C357BA"/>
    <w:rsid w:val="00C3600C"/>
    <w:rsid w:val="00C36CC9"/>
    <w:rsid w:val="00C37E91"/>
    <w:rsid w:val="00C41E89"/>
    <w:rsid w:val="00C421E5"/>
    <w:rsid w:val="00C44375"/>
    <w:rsid w:val="00C443C1"/>
    <w:rsid w:val="00C444FD"/>
    <w:rsid w:val="00C44D52"/>
    <w:rsid w:val="00C46752"/>
    <w:rsid w:val="00C46926"/>
    <w:rsid w:val="00C46972"/>
    <w:rsid w:val="00C542F7"/>
    <w:rsid w:val="00C56414"/>
    <w:rsid w:val="00C57831"/>
    <w:rsid w:val="00C605C0"/>
    <w:rsid w:val="00C61125"/>
    <w:rsid w:val="00C65DF8"/>
    <w:rsid w:val="00C65FCC"/>
    <w:rsid w:val="00C6626E"/>
    <w:rsid w:val="00C66451"/>
    <w:rsid w:val="00C66C84"/>
    <w:rsid w:val="00C7278A"/>
    <w:rsid w:val="00C73871"/>
    <w:rsid w:val="00C8320A"/>
    <w:rsid w:val="00C84299"/>
    <w:rsid w:val="00C8488C"/>
    <w:rsid w:val="00C8534B"/>
    <w:rsid w:val="00CA044E"/>
    <w:rsid w:val="00CA0ED4"/>
    <w:rsid w:val="00CA32CA"/>
    <w:rsid w:val="00CA69B1"/>
    <w:rsid w:val="00CB3FE0"/>
    <w:rsid w:val="00CB45AC"/>
    <w:rsid w:val="00CB7659"/>
    <w:rsid w:val="00CB793A"/>
    <w:rsid w:val="00CB7E04"/>
    <w:rsid w:val="00CB7E6B"/>
    <w:rsid w:val="00CC0772"/>
    <w:rsid w:val="00CC7294"/>
    <w:rsid w:val="00CD14F9"/>
    <w:rsid w:val="00CD297E"/>
    <w:rsid w:val="00CD4A7C"/>
    <w:rsid w:val="00CD5623"/>
    <w:rsid w:val="00CD7A2C"/>
    <w:rsid w:val="00CE0329"/>
    <w:rsid w:val="00CE0599"/>
    <w:rsid w:val="00CE151B"/>
    <w:rsid w:val="00CE19EF"/>
    <w:rsid w:val="00CE55EC"/>
    <w:rsid w:val="00CF43B6"/>
    <w:rsid w:val="00CF479B"/>
    <w:rsid w:val="00CF6BA0"/>
    <w:rsid w:val="00CF7A79"/>
    <w:rsid w:val="00CF7B86"/>
    <w:rsid w:val="00D00966"/>
    <w:rsid w:val="00D016A1"/>
    <w:rsid w:val="00D03A42"/>
    <w:rsid w:val="00D120DC"/>
    <w:rsid w:val="00D14B5D"/>
    <w:rsid w:val="00D16D19"/>
    <w:rsid w:val="00D16F27"/>
    <w:rsid w:val="00D20DD2"/>
    <w:rsid w:val="00D25513"/>
    <w:rsid w:val="00D3096C"/>
    <w:rsid w:val="00D31C77"/>
    <w:rsid w:val="00D3364D"/>
    <w:rsid w:val="00D33CDD"/>
    <w:rsid w:val="00D34C6D"/>
    <w:rsid w:val="00D37439"/>
    <w:rsid w:val="00D40AC0"/>
    <w:rsid w:val="00D41291"/>
    <w:rsid w:val="00D42093"/>
    <w:rsid w:val="00D42F05"/>
    <w:rsid w:val="00D4361D"/>
    <w:rsid w:val="00D46A39"/>
    <w:rsid w:val="00D47B0F"/>
    <w:rsid w:val="00D503FE"/>
    <w:rsid w:val="00D50DFF"/>
    <w:rsid w:val="00D5213D"/>
    <w:rsid w:val="00D53738"/>
    <w:rsid w:val="00D56319"/>
    <w:rsid w:val="00D57CBF"/>
    <w:rsid w:val="00D6070D"/>
    <w:rsid w:val="00D62D97"/>
    <w:rsid w:val="00D66E03"/>
    <w:rsid w:val="00D67BD6"/>
    <w:rsid w:val="00D70D1D"/>
    <w:rsid w:val="00D70F3B"/>
    <w:rsid w:val="00D75828"/>
    <w:rsid w:val="00D760C4"/>
    <w:rsid w:val="00D7657C"/>
    <w:rsid w:val="00D779AE"/>
    <w:rsid w:val="00D83F2C"/>
    <w:rsid w:val="00D84883"/>
    <w:rsid w:val="00D86314"/>
    <w:rsid w:val="00D9482F"/>
    <w:rsid w:val="00DA0516"/>
    <w:rsid w:val="00DA1D1B"/>
    <w:rsid w:val="00DA47FD"/>
    <w:rsid w:val="00DA58E2"/>
    <w:rsid w:val="00DB0590"/>
    <w:rsid w:val="00DB1D19"/>
    <w:rsid w:val="00DB1EBC"/>
    <w:rsid w:val="00DB5B4B"/>
    <w:rsid w:val="00DB63AA"/>
    <w:rsid w:val="00DB6CE4"/>
    <w:rsid w:val="00DC16D4"/>
    <w:rsid w:val="00DC2FD8"/>
    <w:rsid w:val="00DC31C8"/>
    <w:rsid w:val="00DC3DD4"/>
    <w:rsid w:val="00DC5530"/>
    <w:rsid w:val="00DC7622"/>
    <w:rsid w:val="00DD124C"/>
    <w:rsid w:val="00DD50EC"/>
    <w:rsid w:val="00DD5EAF"/>
    <w:rsid w:val="00DD679A"/>
    <w:rsid w:val="00DE18D2"/>
    <w:rsid w:val="00DE26D1"/>
    <w:rsid w:val="00DE2BD3"/>
    <w:rsid w:val="00DE3166"/>
    <w:rsid w:val="00DE419A"/>
    <w:rsid w:val="00DE5A91"/>
    <w:rsid w:val="00DE62E0"/>
    <w:rsid w:val="00DE7FDD"/>
    <w:rsid w:val="00DF09FD"/>
    <w:rsid w:val="00DF3531"/>
    <w:rsid w:val="00DF3FEA"/>
    <w:rsid w:val="00DF65D3"/>
    <w:rsid w:val="00DF6635"/>
    <w:rsid w:val="00DF6743"/>
    <w:rsid w:val="00DF77F8"/>
    <w:rsid w:val="00E0204D"/>
    <w:rsid w:val="00E028BB"/>
    <w:rsid w:val="00E029DA"/>
    <w:rsid w:val="00E0406D"/>
    <w:rsid w:val="00E07B59"/>
    <w:rsid w:val="00E1453D"/>
    <w:rsid w:val="00E16FD0"/>
    <w:rsid w:val="00E23967"/>
    <w:rsid w:val="00E27181"/>
    <w:rsid w:val="00E33B0E"/>
    <w:rsid w:val="00E3402A"/>
    <w:rsid w:val="00E34A8D"/>
    <w:rsid w:val="00E35680"/>
    <w:rsid w:val="00E37997"/>
    <w:rsid w:val="00E50374"/>
    <w:rsid w:val="00E5293C"/>
    <w:rsid w:val="00E53490"/>
    <w:rsid w:val="00E53698"/>
    <w:rsid w:val="00E538BE"/>
    <w:rsid w:val="00E60CD7"/>
    <w:rsid w:val="00E61475"/>
    <w:rsid w:val="00E65A49"/>
    <w:rsid w:val="00E709EC"/>
    <w:rsid w:val="00E71A93"/>
    <w:rsid w:val="00E74795"/>
    <w:rsid w:val="00E764B2"/>
    <w:rsid w:val="00E82386"/>
    <w:rsid w:val="00E845AB"/>
    <w:rsid w:val="00E87ACB"/>
    <w:rsid w:val="00E923D2"/>
    <w:rsid w:val="00E9269C"/>
    <w:rsid w:val="00E93A73"/>
    <w:rsid w:val="00E943CB"/>
    <w:rsid w:val="00E955DB"/>
    <w:rsid w:val="00EA27A9"/>
    <w:rsid w:val="00EA391C"/>
    <w:rsid w:val="00EA5922"/>
    <w:rsid w:val="00EA6799"/>
    <w:rsid w:val="00EA76FF"/>
    <w:rsid w:val="00EB010A"/>
    <w:rsid w:val="00EB2F90"/>
    <w:rsid w:val="00EB344D"/>
    <w:rsid w:val="00EB5A18"/>
    <w:rsid w:val="00EB631A"/>
    <w:rsid w:val="00EB6EBE"/>
    <w:rsid w:val="00EC0D3E"/>
    <w:rsid w:val="00EC34AD"/>
    <w:rsid w:val="00EC5542"/>
    <w:rsid w:val="00EC5F30"/>
    <w:rsid w:val="00ED04B6"/>
    <w:rsid w:val="00ED443B"/>
    <w:rsid w:val="00ED6935"/>
    <w:rsid w:val="00ED6BBC"/>
    <w:rsid w:val="00EE3B9C"/>
    <w:rsid w:val="00EE5369"/>
    <w:rsid w:val="00EE5B18"/>
    <w:rsid w:val="00EE68B6"/>
    <w:rsid w:val="00EF006B"/>
    <w:rsid w:val="00EF4581"/>
    <w:rsid w:val="00EF50A8"/>
    <w:rsid w:val="00EF69ED"/>
    <w:rsid w:val="00F01B91"/>
    <w:rsid w:val="00F01D92"/>
    <w:rsid w:val="00F03353"/>
    <w:rsid w:val="00F04065"/>
    <w:rsid w:val="00F045A4"/>
    <w:rsid w:val="00F04640"/>
    <w:rsid w:val="00F108A2"/>
    <w:rsid w:val="00F121A6"/>
    <w:rsid w:val="00F14EDA"/>
    <w:rsid w:val="00F15914"/>
    <w:rsid w:val="00F20799"/>
    <w:rsid w:val="00F208B6"/>
    <w:rsid w:val="00F3149E"/>
    <w:rsid w:val="00F33125"/>
    <w:rsid w:val="00F36372"/>
    <w:rsid w:val="00F41B5F"/>
    <w:rsid w:val="00F421AC"/>
    <w:rsid w:val="00F42B9A"/>
    <w:rsid w:val="00F42CC5"/>
    <w:rsid w:val="00F44E9A"/>
    <w:rsid w:val="00F46406"/>
    <w:rsid w:val="00F476BA"/>
    <w:rsid w:val="00F51B71"/>
    <w:rsid w:val="00F52C78"/>
    <w:rsid w:val="00F534C8"/>
    <w:rsid w:val="00F5475F"/>
    <w:rsid w:val="00F557D2"/>
    <w:rsid w:val="00F575D8"/>
    <w:rsid w:val="00F61B33"/>
    <w:rsid w:val="00F62EA8"/>
    <w:rsid w:val="00F66758"/>
    <w:rsid w:val="00F67C07"/>
    <w:rsid w:val="00F72EC2"/>
    <w:rsid w:val="00F7363C"/>
    <w:rsid w:val="00F750C6"/>
    <w:rsid w:val="00F757E5"/>
    <w:rsid w:val="00F765CB"/>
    <w:rsid w:val="00F7690D"/>
    <w:rsid w:val="00F77249"/>
    <w:rsid w:val="00F8172F"/>
    <w:rsid w:val="00F81933"/>
    <w:rsid w:val="00F86D45"/>
    <w:rsid w:val="00F8788D"/>
    <w:rsid w:val="00F87E29"/>
    <w:rsid w:val="00F90454"/>
    <w:rsid w:val="00F90C43"/>
    <w:rsid w:val="00F917DD"/>
    <w:rsid w:val="00F968CC"/>
    <w:rsid w:val="00F978B5"/>
    <w:rsid w:val="00F97B2B"/>
    <w:rsid w:val="00F97CAD"/>
    <w:rsid w:val="00F97D67"/>
    <w:rsid w:val="00FA08A4"/>
    <w:rsid w:val="00FA0F17"/>
    <w:rsid w:val="00FA2245"/>
    <w:rsid w:val="00FA2A1E"/>
    <w:rsid w:val="00FA42E6"/>
    <w:rsid w:val="00FA5CAD"/>
    <w:rsid w:val="00FB3522"/>
    <w:rsid w:val="00FB356C"/>
    <w:rsid w:val="00FC295C"/>
    <w:rsid w:val="00FC35BA"/>
    <w:rsid w:val="00FD05C8"/>
    <w:rsid w:val="00FD109C"/>
    <w:rsid w:val="00FD2F56"/>
    <w:rsid w:val="00FD3645"/>
    <w:rsid w:val="00FD3B17"/>
    <w:rsid w:val="00FD3FCA"/>
    <w:rsid w:val="00FD4952"/>
    <w:rsid w:val="00FD64B0"/>
    <w:rsid w:val="00FE00D7"/>
    <w:rsid w:val="00FE46B6"/>
    <w:rsid w:val="00FF1070"/>
    <w:rsid w:val="00FF10E4"/>
    <w:rsid w:val="00FF15D7"/>
    <w:rsid w:val="00FF33C5"/>
    <w:rsid w:val="00FF4D62"/>
    <w:rsid w:val="00FF6C61"/>
    <w:rsid w:val="00FF7315"/>
    <w:rsid w:val="014C37B1"/>
    <w:rsid w:val="02C178ED"/>
    <w:rsid w:val="037C7044"/>
    <w:rsid w:val="04192ED7"/>
    <w:rsid w:val="04710B23"/>
    <w:rsid w:val="060A7D56"/>
    <w:rsid w:val="07666493"/>
    <w:rsid w:val="08677DA9"/>
    <w:rsid w:val="088E004E"/>
    <w:rsid w:val="08C43471"/>
    <w:rsid w:val="08E1528E"/>
    <w:rsid w:val="08F05305"/>
    <w:rsid w:val="091B2499"/>
    <w:rsid w:val="09250538"/>
    <w:rsid w:val="0945739A"/>
    <w:rsid w:val="0A2540FC"/>
    <w:rsid w:val="0A57694C"/>
    <w:rsid w:val="0AAC68B2"/>
    <w:rsid w:val="0B1A1A6E"/>
    <w:rsid w:val="0B311251"/>
    <w:rsid w:val="0CD8660E"/>
    <w:rsid w:val="0D58464C"/>
    <w:rsid w:val="0E533BEB"/>
    <w:rsid w:val="0EFA78D3"/>
    <w:rsid w:val="0F5F3EF3"/>
    <w:rsid w:val="0F68198A"/>
    <w:rsid w:val="0F6E6A9E"/>
    <w:rsid w:val="11637879"/>
    <w:rsid w:val="123C051C"/>
    <w:rsid w:val="136775E5"/>
    <w:rsid w:val="158E72E0"/>
    <w:rsid w:val="15C6253C"/>
    <w:rsid w:val="15D6407B"/>
    <w:rsid w:val="163065E9"/>
    <w:rsid w:val="16AE750E"/>
    <w:rsid w:val="16DA3E15"/>
    <w:rsid w:val="16DF2FF0"/>
    <w:rsid w:val="17B4605C"/>
    <w:rsid w:val="18F10CCA"/>
    <w:rsid w:val="19AC1C85"/>
    <w:rsid w:val="1AA5397B"/>
    <w:rsid w:val="1AA53D5F"/>
    <w:rsid w:val="1ACD1FB7"/>
    <w:rsid w:val="1C933991"/>
    <w:rsid w:val="1DBC77DF"/>
    <w:rsid w:val="1DC80658"/>
    <w:rsid w:val="1E403142"/>
    <w:rsid w:val="2074771D"/>
    <w:rsid w:val="21E81804"/>
    <w:rsid w:val="22D12F02"/>
    <w:rsid w:val="22E35184"/>
    <w:rsid w:val="23120652"/>
    <w:rsid w:val="23711367"/>
    <w:rsid w:val="26993D37"/>
    <w:rsid w:val="274814EE"/>
    <w:rsid w:val="2916433C"/>
    <w:rsid w:val="299F78B6"/>
    <w:rsid w:val="2AA2556D"/>
    <w:rsid w:val="2AB92726"/>
    <w:rsid w:val="2C517720"/>
    <w:rsid w:val="2C6432DA"/>
    <w:rsid w:val="2C86594D"/>
    <w:rsid w:val="2D7026DB"/>
    <w:rsid w:val="2D9F4000"/>
    <w:rsid w:val="2DFC7C02"/>
    <w:rsid w:val="2E2E3129"/>
    <w:rsid w:val="2E7F3676"/>
    <w:rsid w:val="2FB3602C"/>
    <w:rsid w:val="30A107DB"/>
    <w:rsid w:val="30C542F1"/>
    <w:rsid w:val="30E34EA6"/>
    <w:rsid w:val="316E06A2"/>
    <w:rsid w:val="319475D5"/>
    <w:rsid w:val="32A92D2C"/>
    <w:rsid w:val="3319669E"/>
    <w:rsid w:val="339B4998"/>
    <w:rsid w:val="34D27673"/>
    <w:rsid w:val="34F41AE2"/>
    <w:rsid w:val="351E67F1"/>
    <w:rsid w:val="352111FB"/>
    <w:rsid w:val="352354AF"/>
    <w:rsid w:val="358B0E8C"/>
    <w:rsid w:val="364C2B74"/>
    <w:rsid w:val="36D913FC"/>
    <w:rsid w:val="37BA7AA5"/>
    <w:rsid w:val="386D47CC"/>
    <w:rsid w:val="39442563"/>
    <w:rsid w:val="3A337030"/>
    <w:rsid w:val="3A570BEC"/>
    <w:rsid w:val="3AF54322"/>
    <w:rsid w:val="3AFD1387"/>
    <w:rsid w:val="3B644D4D"/>
    <w:rsid w:val="3C600441"/>
    <w:rsid w:val="3C75173D"/>
    <w:rsid w:val="3D5A1B2F"/>
    <w:rsid w:val="3E526F2B"/>
    <w:rsid w:val="3EED592D"/>
    <w:rsid w:val="3EFB53E6"/>
    <w:rsid w:val="3F0018BF"/>
    <w:rsid w:val="3F6C393F"/>
    <w:rsid w:val="3FE55371"/>
    <w:rsid w:val="40105179"/>
    <w:rsid w:val="4094101D"/>
    <w:rsid w:val="420C31B7"/>
    <w:rsid w:val="427515A8"/>
    <w:rsid w:val="43BC6755"/>
    <w:rsid w:val="440C526C"/>
    <w:rsid w:val="44B042CE"/>
    <w:rsid w:val="44CB735A"/>
    <w:rsid w:val="44F7014F"/>
    <w:rsid w:val="458B6072"/>
    <w:rsid w:val="45B67C71"/>
    <w:rsid w:val="45C81AEB"/>
    <w:rsid w:val="45D07BD9"/>
    <w:rsid w:val="45DA351F"/>
    <w:rsid w:val="46081EE8"/>
    <w:rsid w:val="470923BB"/>
    <w:rsid w:val="47C8626D"/>
    <w:rsid w:val="48235EC9"/>
    <w:rsid w:val="4894337B"/>
    <w:rsid w:val="489F30A0"/>
    <w:rsid w:val="49100826"/>
    <w:rsid w:val="49775E76"/>
    <w:rsid w:val="4A433C02"/>
    <w:rsid w:val="4AB50183"/>
    <w:rsid w:val="4B88735A"/>
    <w:rsid w:val="4BBC4139"/>
    <w:rsid w:val="4D7526D1"/>
    <w:rsid w:val="4D7F0E8B"/>
    <w:rsid w:val="4E660AF6"/>
    <w:rsid w:val="4F801976"/>
    <w:rsid w:val="4FDF6E1B"/>
    <w:rsid w:val="4FEB3623"/>
    <w:rsid w:val="50D93372"/>
    <w:rsid w:val="51347BD0"/>
    <w:rsid w:val="52B82005"/>
    <w:rsid w:val="52F204DA"/>
    <w:rsid w:val="530103EA"/>
    <w:rsid w:val="538232D9"/>
    <w:rsid w:val="53EE096F"/>
    <w:rsid w:val="542533A0"/>
    <w:rsid w:val="550F6DEF"/>
    <w:rsid w:val="55605F6A"/>
    <w:rsid w:val="556A6D4F"/>
    <w:rsid w:val="579A2768"/>
    <w:rsid w:val="58080C11"/>
    <w:rsid w:val="58A77AFF"/>
    <w:rsid w:val="58C73B05"/>
    <w:rsid w:val="58C93086"/>
    <w:rsid w:val="59926ACA"/>
    <w:rsid w:val="59F147A8"/>
    <w:rsid w:val="5C1605A1"/>
    <w:rsid w:val="5C2018E1"/>
    <w:rsid w:val="5C8E3B9B"/>
    <w:rsid w:val="5CDA14ED"/>
    <w:rsid w:val="5DE462E6"/>
    <w:rsid w:val="5DFFA30F"/>
    <w:rsid w:val="5EA562DF"/>
    <w:rsid w:val="5F233527"/>
    <w:rsid w:val="5F8F3A4C"/>
    <w:rsid w:val="606D4EC2"/>
    <w:rsid w:val="60EB4A87"/>
    <w:rsid w:val="62AE2CB7"/>
    <w:rsid w:val="632B2A46"/>
    <w:rsid w:val="639F30FF"/>
    <w:rsid w:val="63DC796C"/>
    <w:rsid w:val="64C161E8"/>
    <w:rsid w:val="65486B4A"/>
    <w:rsid w:val="66706DD6"/>
    <w:rsid w:val="66805D9E"/>
    <w:rsid w:val="66CF5EE3"/>
    <w:rsid w:val="67025323"/>
    <w:rsid w:val="679F4666"/>
    <w:rsid w:val="67BD7477"/>
    <w:rsid w:val="686C7E18"/>
    <w:rsid w:val="68FA1426"/>
    <w:rsid w:val="69D21DF4"/>
    <w:rsid w:val="6A10113F"/>
    <w:rsid w:val="6A342DAB"/>
    <w:rsid w:val="6AB323EB"/>
    <w:rsid w:val="6ABA2412"/>
    <w:rsid w:val="6BB05DEA"/>
    <w:rsid w:val="6C275C44"/>
    <w:rsid w:val="6C5F0204"/>
    <w:rsid w:val="6CC33A41"/>
    <w:rsid w:val="6E23321C"/>
    <w:rsid w:val="6FA5349C"/>
    <w:rsid w:val="6FBB1725"/>
    <w:rsid w:val="6FD12C00"/>
    <w:rsid w:val="70FF04E3"/>
    <w:rsid w:val="728E2AA1"/>
    <w:rsid w:val="739B583B"/>
    <w:rsid w:val="73B19DCE"/>
    <w:rsid w:val="73EA7F5B"/>
    <w:rsid w:val="741C27AD"/>
    <w:rsid w:val="74641217"/>
    <w:rsid w:val="7493310C"/>
    <w:rsid w:val="74CB7060"/>
    <w:rsid w:val="74E40A45"/>
    <w:rsid w:val="752A4370"/>
    <w:rsid w:val="77453361"/>
    <w:rsid w:val="795E0B67"/>
    <w:rsid w:val="799F6815"/>
    <w:rsid w:val="79AE542E"/>
    <w:rsid w:val="79B13521"/>
    <w:rsid w:val="7A653BE9"/>
    <w:rsid w:val="7B2D68A5"/>
    <w:rsid w:val="7BDC717B"/>
    <w:rsid w:val="7BEF33A3"/>
    <w:rsid w:val="7C2078D9"/>
    <w:rsid w:val="7C835849"/>
    <w:rsid w:val="7CD0616A"/>
    <w:rsid w:val="7CDE65B0"/>
    <w:rsid w:val="7CFF0C13"/>
    <w:rsid w:val="7D4F6073"/>
    <w:rsid w:val="7E896C08"/>
    <w:rsid w:val="7EAF501B"/>
    <w:rsid w:val="7F4EF1F6"/>
    <w:rsid w:val="7F5F4D2E"/>
    <w:rsid w:val="7F8F09A8"/>
    <w:rsid w:val="7FFDA635"/>
    <w:rsid w:val="7FFDF515"/>
    <w:rsid w:val="BBFF42F7"/>
    <w:rsid w:val="BCD72B83"/>
    <w:rsid w:val="BEDAA8B3"/>
    <w:rsid w:val="BEED6BD2"/>
    <w:rsid w:val="BEF6121B"/>
    <w:rsid w:val="BFDBAFF0"/>
    <w:rsid w:val="DDF7B036"/>
    <w:rsid w:val="E3F786FE"/>
    <w:rsid w:val="ED3D7BBD"/>
    <w:rsid w:val="EE6F6EF6"/>
    <w:rsid w:val="F2F36C80"/>
    <w:rsid w:val="FB3CDF17"/>
    <w:rsid w:val="FB668792"/>
    <w:rsid w:val="FCF29A7A"/>
    <w:rsid w:val="FEE320F6"/>
    <w:rsid w:val="FF1F617A"/>
    <w:rsid w:val="FFDADC6A"/>
    <w:rsid w:val="FFFD69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420" w:firstLineChars="200"/>
      <w:jc w:val="both"/>
    </w:pPr>
    <w:rPr>
      <w:rFonts w:ascii="仿宋_GB2312" w:hAnsi="仿宋_GB2312" w:eastAsia="仿宋_GB2312" w:cs="Times New Roman"/>
      <w:kern w:val="2"/>
      <w:sz w:val="32"/>
      <w:szCs w:val="22"/>
      <w:lang w:val="en-US" w:eastAsia="zh-CN" w:bidi="ar-SA"/>
    </w:rPr>
  </w:style>
  <w:style w:type="paragraph" w:styleId="2">
    <w:name w:val="heading 1"/>
    <w:basedOn w:val="1"/>
    <w:next w:val="1"/>
    <w:link w:val="21"/>
    <w:qFormat/>
    <w:uiPriority w:val="9"/>
    <w:pPr>
      <w:keepNext/>
      <w:keepLines/>
      <w:ind w:firstLine="200"/>
      <w:jc w:val="left"/>
      <w:outlineLvl w:val="0"/>
    </w:pPr>
    <w:rPr>
      <w:rFonts w:ascii="Times New Roman" w:hAnsi="Times New Roman" w:eastAsia="黑体"/>
      <w:bCs/>
      <w:kern w:val="44"/>
      <w:szCs w:val="44"/>
    </w:rPr>
  </w:style>
  <w:style w:type="paragraph" w:styleId="3">
    <w:name w:val="heading 2"/>
    <w:basedOn w:val="1"/>
    <w:next w:val="1"/>
    <w:link w:val="22"/>
    <w:qFormat/>
    <w:uiPriority w:val="9"/>
    <w:pPr>
      <w:keepNext/>
      <w:keepLines/>
      <w:outlineLvl w:val="1"/>
    </w:pPr>
    <w:rPr>
      <w:rFonts w:ascii="Cambria" w:hAnsi="Cambria" w:eastAsia="楷体_GB2312"/>
      <w:bCs/>
      <w:szCs w:val="32"/>
    </w:rPr>
  </w:style>
  <w:style w:type="paragraph" w:styleId="4">
    <w:name w:val="heading 3"/>
    <w:basedOn w:val="1"/>
    <w:next w:val="1"/>
    <w:link w:val="23"/>
    <w:qFormat/>
    <w:uiPriority w:val="9"/>
    <w:pPr>
      <w:keepNext/>
      <w:keepLines/>
      <w:ind w:firstLine="200"/>
      <w:outlineLvl w:val="2"/>
    </w:pPr>
    <w:rPr>
      <w:rFonts w:ascii="Times New Roman" w:hAnsi="Times New Roman"/>
      <w:bCs/>
      <w:kern w:val="0"/>
      <w:szCs w:val="32"/>
    </w:rPr>
  </w:style>
  <w:style w:type="paragraph" w:styleId="5">
    <w:name w:val="heading 4"/>
    <w:basedOn w:val="1"/>
    <w:next w:val="1"/>
    <w:qFormat/>
    <w:uiPriority w:val="9"/>
    <w:pPr>
      <w:keepNext/>
      <w:keepLines/>
      <w:spacing w:before="280" w:after="290" w:line="376" w:lineRule="auto"/>
      <w:outlineLvl w:val="3"/>
    </w:pPr>
    <w:rPr>
      <w:rFonts w:ascii="Calibri Light" w:hAnsi="Calibri Light" w:eastAsia="宋体"/>
      <w:b/>
      <w:bCs/>
      <w:sz w:val="28"/>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Body Text"/>
    <w:basedOn w:val="1"/>
    <w:qFormat/>
    <w:uiPriority w:val="1"/>
    <w:rPr>
      <w:szCs w:val="32"/>
    </w:rPr>
  </w:style>
  <w:style w:type="paragraph" w:styleId="7">
    <w:name w:val="Body Text Indent"/>
    <w:basedOn w:val="1"/>
    <w:link w:val="24"/>
    <w:unhideWhenUsed/>
    <w:qFormat/>
    <w:uiPriority w:val="99"/>
    <w:pPr>
      <w:spacing w:after="120"/>
      <w:ind w:left="420" w:leftChars="200"/>
    </w:pPr>
  </w:style>
  <w:style w:type="paragraph" w:styleId="8">
    <w:name w:val="toc 3"/>
    <w:basedOn w:val="1"/>
    <w:next w:val="1"/>
    <w:unhideWhenUsed/>
    <w:qFormat/>
    <w:uiPriority w:val="39"/>
    <w:pPr>
      <w:ind w:left="840" w:leftChars="400"/>
    </w:pPr>
  </w:style>
  <w:style w:type="paragraph" w:styleId="9">
    <w:name w:val="Balloon Text"/>
    <w:basedOn w:val="1"/>
    <w:link w:val="25"/>
    <w:unhideWhenUsed/>
    <w:qFormat/>
    <w:uiPriority w:val="99"/>
    <w:pPr>
      <w:spacing w:line="240" w:lineRule="auto"/>
    </w:pPr>
    <w:rPr>
      <w:sz w:val="18"/>
      <w:szCs w:val="18"/>
    </w:rPr>
  </w:style>
  <w:style w:type="paragraph" w:styleId="10">
    <w:name w:val="footer"/>
    <w:basedOn w:val="1"/>
    <w:link w:val="26"/>
    <w:unhideWhenUsed/>
    <w:qFormat/>
    <w:uiPriority w:val="99"/>
    <w:pPr>
      <w:tabs>
        <w:tab w:val="center" w:pos="4153"/>
        <w:tab w:val="right" w:pos="8306"/>
      </w:tabs>
      <w:snapToGrid w:val="0"/>
      <w:jc w:val="left"/>
    </w:pPr>
    <w:rPr>
      <w:sz w:val="18"/>
      <w:szCs w:val="18"/>
    </w:rPr>
  </w:style>
  <w:style w:type="paragraph" w:styleId="11">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style>
  <w:style w:type="paragraph" w:styleId="13">
    <w:name w:val="footnote text"/>
    <w:basedOn w:val="1"/>
    <w:link w:val="28"/>
    <w:unhideWhenUsed/>
    <w:qFormat/>
    <w:uiPriority w:val="0"/>
    <w:pPr>
      <w:snapToGrid w:val="0"/>
      <w:spacing w:line="240" w:lineRule="auto"/>
      <w:ind w:firstLine="0" w:firstLineChars="0"/>
      <w:jc w:val="left"/>
    </w:pPr>
    <w:rPr>
      <w:rFonts w:ascii="Times New Roman" w:hAnsi="Times New Roman" w:eastAsia="宋体"/>
      <w:sz w:val="18"/>
      <w:szCs w:val="18"/>
    </w:rPr>
  </w:style>
  <w:style w:type="paragraph" w:styleId="14">
    <w:name w:val="toc 2"/>
    <w:basedOn w:val="1"/>
    <w:next w:val="1"/>
    <w:unhideWhenUsed/>
    <w:qFormat/>
    <w:uiPriority w:val="39"/>
    <w:pPr>
      <w:widowControl/>
      <w:tabs>
        <w:tab w:val="right" w:leader="dot" w:pos="8296"/>
      </w:tabs>
      <w:spacing w:after="100" w:line="400" w:lineRule="exact"/>
      <w:ind w:left="221"/>
      <w:jc w:val="left"/>
    </w:pPr>
    <w:rPr>
      <w:kern w:val="0"/>
      <w:sz w:val="22"/>
    </w:rPr>
  </w:style>
  <w:style w:type="paragraph" w:styleId="1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6">
    <w:name w:val="Body Text First Indent 2"/>
    <w:basedOn w:val="7"/>
    <w:link w:val="29"/>
    <w:unhideWhenUsed/>
    <w:qFormat/>
    <w:uiPriority w:val="99"/>
    <w:pPr>
      <w:widowControl/>
      <w:adjustRightInd w:val="0"/>
      <w:snapToGrid w:val="0"/>
      <w:spacing w:line="240" w:lineRule="auto"/>
      <w:jc w:val="left"/>
    </w:pPr>
    <w:rPr>
      <w:rFonts w:ascii="Tahoma" w:hAnsi="Tahoma" w:eastAsia="微软雅黑"/>
      <w:kern w:val="0"/>
      <w:sz w:val="22"/>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unhideWhenUsed/>
    <w:qFormat/>
    <w:uiPriority w:val="99"/>
    <w:rPr>
      <w:color w:val="0000FF"/>
      <w:u w:val="single"/>
    </w:rPr>
  </w:style>
  <w:style w:type="character" w:customStyle="1" w:styleId="21">
    <w:name w:val="标题 1 Char"/>
    <w:basedOn w:val="19"/>
    <w:link w:val="2"/>
    <w:qFormat/>
    <w:uiPriority w:val="9"/>
    <w:rPr>
      <w:rFonts w:ascii="Times New Roman" w:hAnsi="Times New Roman" w:eastAsia="黑体" w:cs="Times New Roman"/>
      <w:bCs/>
      <w:kern w:val="44"/>
      <w:sz w:val="32"/>
      <w:szCs w:val="44"/>
    </w:rPr>
  </w:style>
  <w:style w:type="character" w:customStyle="1" w:styleId="22">
    <w:name w:val="标题 2 Char"/>
    <w:basedOn w:val="19"/>
    <w:link w:val="3"/>
    <w:qFormat/>
    <w:uiPriority w:val="9"/>
    <w:rPr>
      <w:rFonts w:ascii="Cambria" w:hAnsi="Cambria" w:eastAsia="楷体_GB2312" w:cs="Times New Roman"/>
      <w:bCs/>
      <w:sz w:val="32"/>
      <w:szCs w:val="32"/>
    </w:rPr>
  </w:style>
  <w:style w:type="character" w:customStyle="1" w:styleId="23">
    <w:name w:val="标题 3 Char"/>
    <w:basedOn w:val="19"/>
    <w:link w:val="4"/>
    <w:qFormat/>
    <w:uiPriority w:val="9"/>
    <w:rPr>
      <w:rFonts w:ascii="Times New Roman" w:hAnsi="Times New Roman" w:eastAsia="仿宋_GB2312" w:cs="Times New Roman"/>
      <w:bCs/>
      <w:kern w:val="0"/>
      <w:sz w:val="32"/>
      <w:szCs w:val="32"/>
    </w:rPr>
  </w:style>
  <w:style w:type="character" w:customStyle="1" w:styleId="24">
    <w:name w:val="正文文本缩进 Char"/>
    <w:basedOn w:val="19"/>
    <w:link w:val="7"/>
    <w:semiHidden/>
    <w:qFormat/>
    <w:uiPriority w:val="99"/>
    <w:rPr>
      <w:rFonts w:ascii="仿宋_GB2312" w:hAnsi="仿宋_GB2312" w:eastAsia="仿宋_GB2312"/>
      <w:kern w:val="2"/>
      <w:sz w:val="32"/>
      <w:szCs w:val="22"/>
    </w:rPr>
  </w:style>
  <w:style w:type="character" w:customStyle="1" w:styleId="25">
    <w:name w:val="批注框文本 Char"/>
    <w:basedOn w:val="19"/>
    <w:link w:val="9"/>
    <w:semiHidden/>
    <w:qFormat/>
    <w:uiPriority w:val="99"/>
    <w:rPr>
      <w:rFonts w:ascii="仿宋_GB2312" w:hAnsi="仿宋_GB2312" w:eastAsia="仿宋_GB2312"/>
      <w:kern w:val="2"/>
      <w:sz w:val="18"/>
      <w:szCs w:val="18"/>
    </w:rPr>
  </w:style>
  <w:style w:type="character" w:customStyle="1" w:styleId="26">
    <w:name w:val="页脚 Char"/>
    <w:basedOn w:val="19"/>
    <w:link w:val="10"/>
    <w:qFormat/>
    <w:uiPriority w:val="99"/>
    <w:rPr>
      <w:sz w:val="18"/>
      <w:szCs w:val="18"/>
    </w:rPr>
  </w:style>
  <w:style w:type="character" w:customStyle="1" w:styleId="27">
    <w:name w:val="页眉 Char"/>
    <w:basedOn w:val="19"/>
    <w:link w:val="11"/>
    <w:qFormat/>
    <w:uiPriority w:val="99"/>
    <w:rPr>
      <w:sz w:val="18"/>
      <w:szCs w:val="18"/>
    </w:rPr>
  </w:style>
  <w:style w:type="character" w:customStyle="1" w:styleId="28">
    <w:name w:val="脚注文本 Char"/>
    <w:basedOn w:val="19"/>
    <w:link w:val="13"/>
    <w:qFormat/>
    <w:uiPriority w:val="0"/>
    <w:rPr>
      <w:rFonts w:ascii="Times New Roman" w:hAnsi="Times New Roman" w:eastAsia="宋体" w:cs="Times New Roman"/>
      <w:kern w:val="2"/>
      <w:sz w:val="18"/>
      <w:szCs w:val="18"/>
    </w:rPr>
  </w:style>
  <w:style w:type="character" w:customStyle="1" w:styleId="29">
    <w:name w:val="正文首行缩进 2 Char"/>
    <w:basedOn w:val="24"/>
    <w:link w:val="16"/>
    <w:qFormat/>
    <w:uiPriority w:val="99"/>
    <w:rPr>
      <w:rFonts w:ascii="Tahoma" w:hAnsi="Tahoma" w:eastAsia="微软雅黑"/>
      <w:sz w:val="22"/>
    </w:rPr>
  </w:style>
  <w:style w:type="paragraph" w:customStyle="1" w:styleId="30">
    <w:name w:val="正文-公1"/>
    <w:basedOn w:val="31"/>
    <w:next w:val="1"/>
    <w:qFormat/>
    <w:uiPriority w:val="0"/>
    <w:pPr>
      <w:ind w:firstLine="200" w:firstLineChars="200"/>
    </w:pPr>
  </w:style>
  <w:style w:type="paragraph" w:customStyle="1" w:styleId="31">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0"/>
    <w:qFormat/>
    <w:uiPriority w:val="0"/>
    <w:pPr>
      <w:widowControl w:val="0"/>
      <w:jc w:val="both"/>
    </w:pPr>
    <w:rPr>
      <w:rFonts w:ascii="Times New Roman" w:hAnsi="Times New Roman" w:eastAsia="宋体" w:cs="Times New Roman"/>
      <w:kern w:val="2"/>
      <w:sz w:val="21"/>
      <w:lang w:val="en-US" w:eastAsia="zh-CN" w:bidi="ar-SA"/>
    </w:rPr>
  </w:style>
  <w:style w:type="paragraph" w:styleId="32">
    <w:name w:val="List Paragraph"/>
    <w:basedOn w:val="1"/>
    <w:qFormat/>
    <w:uiPriority w:val="34"/>
  </w:style>
  <w:style w:type="character" w:customStyle="1" w:styleId="33">
    <w:name w:val="闻政正文 Char"/>
    <w:link w:val="34"/>
    <w:qFormat/>
    <w:uiPriority w:val="0"/>
    <w:rPr>
      <w:rFonts w:eastAsia="仿宋_GB2312"/>
      <w:sz w:val="28"/>
      <w:szCs w:val="28"/>
    </w:rPr>
  </w:style>
  <w:style w:type="paragraph" w:customStyle="1" w:styleId="34">
    <w:name w:val="闻政正文"/>
    <w:basedOn w:val="1"/>
    <w:link w:val="33"/>
    <w:qFormat/>
    <w:uiPriority w:val="0"/>
    <w:pPr>
      <w:spacing w:line="500" w:lineRule="exact"/>
      <w:ind w:firstLine="560"/>
    </w:pPr>
    <w:rPr>
      <w:rFonts w:ascii="Times New Roman" w:hAnsi="Times New Roman"/>
      <w:kern w:val="0"/>
      <w:sz w:val="28"/>
      <w:szCs w:val="28"/>
    </w:rPr>
  </w:style>
  <w:style w:type="paragraph" w:customStyle="1" w:styleId="35">
    <w:name w:val="Body text|1"/>
    <w:basedOn w:val="1"/>
    <w:qFormat/>
    <w:uiPriority w:val="0"/>
    <w:rPr>
      <w:rFonts w:ascii="MingLiU" w:hAnsi="MingLiU" w:eastAsia="MingLiU" w:cs="MingLiU"/>
      <w:szCs w:val="24"/>
      <w:shd w:val="clear" w:color="auto" w:fill="FFFFFF"/>
      <w:lang w:val="zh-TW" w:eastAsia="zh-TW" w:bidi="zh-TW"/>
    </w:rPr>
  </w:style>
  <w:style w:type="paragraph" w:customStyle="1" w:styleId="36">
    <w:name w:val="TOC 标题1"/>
    <w:basedOn w:val="2"/>
    <w:next w:val="1"/>
    <w:unhideWhenUsed/>
    <w:qFormat/>
    <w:uiPriority w:val="39"/>
    <w:pPr>
      <w:widowControl/>
      <w:spacing w:before="240" w:line="259" w:lineRule="auto"/>
      <w:ind w:firstLine="0" w:firstLineChars="0"/>
      <w:outlineLvl w:val="9"/>
    </w:pPr>
    <w:rPr>
      <w:rFonts w:ascii="Cambria" w:hAnsi="Cambria" w:eastAsia="宋体"/>
      <w:bCs w:val="0"/>
      <w:color w:val="366091"/>
      <w:kern w:val="0"/>
      <w:szCs w:val="32"/>
    </w:rPr>
  </w:style>
  <w:style w:type="character" w:styleId="37">
    <w:name w:val="Placeholder Text"/>
    <w:basedOn w:val="19"/>
    <w:semiHidden/>
    <w:qFormat/>
    <w:uiPriority w:val="99"/>
    <w:rPr>
      <w:color w:val="808080"/>
    </w:rPr>
  </w:style>
  <w:style w:type="paragraph" w:customStyle="1" w:styleId="38">
    <w:name w:val="WPSOffice手动目录 1"/>
    <w:qFormat/>
    <w:uiPriority w:val="0"/>
    <w:rPr>
      <w:rFonts w:ascii="Calibri" w:hAnsi="Calibri" w:eastAsia="宋体" w:cs="Times New Roman"/>
      <w:lang w:val="en-US" w:eastAsia="zh-CN" w:bidi="ar-SA"/>
    </w:rPr>
  </w:style>
  <w:style w:type="paragraph" w:customStyle="1" w:styleId="39">
    <w:name w:val="WPSOffice手动目录 2"/>
    <w:qFormat/>
    <w:uiPriority w:val="0"/>
    <w:pPr>
      <w:ind w:left="200" w:leftChars="200"/>
    </w:pPr>
    <w:rPr>
      <w:rFonts w:ascii="Calibri" w:hAnsi="Calibri" w:eastAsia="宋体" w:cs="Times New Roman"/>
      <w:lang w:val="en-US" w:eastAsia="zh-CN" w:bidi="ar-SA"/>
    </w:rPr>
  </w:style>
  <w:style w:type="paragraph" w:customStyle="1" w:styleId="40">
    <w:name w:val="WPSOffice手动目录 3"/>
    <w:qFormat/>
    <w:uiPriority w:val="0"/>
    <w:pPr>
      <w:ind w:left="400" w:leftChars="400"/>
    </w:pPr>
    <w:rPr>
      <w:rFonts w:ascii="Calibri" w:hAnsi="Calibri" w:eastAsia="宋体" w:cs="Times New Roman"/>
      <w:lang w:val="en-US" w:eastAsia="zh-CN" w:bidi="ar-SA"/>
    </w:rPr>
  </w:style>
  <w:style w:type="paragraph" w:customStyle="1" w:styleId="41">
    <w:name w:val="Table Text"/>
    <w:basedOn w:val="1"/>
    <w:semiHidden/>
    <w:qFormat/>
    <w:uiPriority w:val="0"/>
    <w:rPr>
      <w:rFonts w:ascii="宋体" w:hAnsi="宋体" w:eastAsia="宋体" w:cs="宋体"/>
      <w:sz w:val="15"/>
      <w:szCs w:val="15"/>
      <w:lang w:eastAsia="en-US"/>
    </w:rPr>
  </w:style>
  <w:style w:type="table" w:customStyle="1" w:styleId="42">
    <w:name w:val="Table Normal"/>
    <w:unhideWhenUsed/>
    <w:qFormat/>
    <w:uiPriority w:val="0"/>
    <w:tblPr>
      <w:tblCellMar>
        <w:top w:w="0" w:type="dxa"/>
        <w:left w:w="0" w:type="dxa"/>
        <w:bottom w:w="0" w:type="dxa"/>
        <w:right w:w="0" w:type="dxa"/>
      </w:tblCellMar>
    </w:tblPr>
  </w:style>
  <w:style w:type="paragraph" w:customStyle="1" w:styleId="43">
    <w:name w:val="正文标准1"/>
    <w:basedOn w:val="1"/>
    <w:next w:val="1"/>
    <w:qFormat/>
    <w:uiPriority w:val="99"/>
    <w:pPr>
      <w:adjustRightInd w:val="0"/>
      <w:snapToGrid w:val="0"/>
      <w:ind w:firstLine="640"/>
    </w:pPr>
    <w:rPr>
      <w:rFonts w:ascii="Times New Roman" w:hAnsi="Times New Roman"/>
      <w:szCs w:val="32"/>
    </w:rPr>
  </w:style>
  <w:style w:type="paragraph" w:customStyle="1" w:styleId="44">
    <w:name w:val="NormalIndent"/>
    <w:basedOn w:val="1"/>
    <w:qFormat/>
    <w:uiPriority w:val="0"/>
    <w:pPr>
      <w:textAlignment w:val="baseline"/>
    </w:pPr>
    <w:rPr>
      <w:rFonts w:ascii="Times New Roman" w:hAnsi="Times New Roman" w:eastAsia="宋体"/>
      <w:szCs w:val="32"/>
    </w:rPr>
  </w:style>
  <w:style w:type="paragraph" w:customStyle="1" w:styleId="45">
    <w:name w:val="南京正文"/>
    <w:basedOn w:val="1"/>
    <w:qFormat/>
    <w:uiPriority w:val="0"/>
    <w:pPr>
      <w:widowControl/>
      <w:spacing w:after="200"/>
      <w:ind w:firstLine="200"/>
      <w:jc w:val="left"/>
    </w:pPr>
    <w:rPr>
      <w:rFonts w:eastAsia="仿宋"/>
      <w:kern w:val="0"/>
      <w:szCs w:val="28"/>
      <w:lang w:val="zh-CN" w:eastAsia="en-US" w:bidi="en-US"/>
    </w:rPr>
  </w:style>
  <w:style w:type="paragraph" w:customStyle="1" w:styleId="46">
    <w:name w:val="_Style 3"/>
    <w:basedOn w:val="2"/>
    <w:next w:val="1"/>
    <w:qFormat/>
    <w:uiPriority w:val="39"/>
    <w:pPr>
      <w:widowControl/>
      <w:spacing w:before="240" w:line="259" w:lineRule="auto"/>
      <w:outlineLvl w:val="9"/>
    </w:pPr>
    <w:rPr>
      <w:rFonts w:ascii="等线 Light" w:hAnsi="等线 Light" w:eastAsia="等线 Light"/>
      <w:bCs w:val="0"/>
      <w:color w:val="2F5496"/>
      <w:kern w:val="0"/>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contractReview xmlns="http://schemas.wps.cn/vas-ai-hub/contract-review">
  <reviewItems>
    <reviewItem>
      <errorID>db28deeb-a234-46b6-a747-56ddf9377ec2</errorID>
      <errorWord>法律、法规</errorWord>
      <group>L1_Word</group>
      <groupName>字词问题</groupName>
      <ability>L2_Typo</ability>
      <abilityName>字词错误</abilityName>
      <candidateList>
        <item>法律法规</item>
      </candidateList>
      <explain/>
      <paraID>475069D3</paraID>
      <start>102</start>
      <end>107</end>
      <status>unmodified</status>
      <modifiedWord/>
      <trackRevisions>false</trackRevisions>
    </reviewItem>
    <reviewItem>
      <errorID>dfad56b7-8c91-413e-afc5-5284c8353f82</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3C12E892</paraID>
      <start>3</start>
      <end>7</end>
      <status>unmodified</status>
      <modifiedWord/>
      <trackRevisions>false</trackRevisions>
    </reviewItem>
    <reviewItem>
      <errorID>60c4fba9-b9f0-4c8a-85ac-eb11ecd94e9b</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29F6AA03</paraID>
      <start>5</start>
      <end>11</end>
      <status>unmodified</status>
      <modifiedWord/>
      <trackRevisions>false</trackRevisions>
    </reviewItem>
    <reviewItem>
      <errorID>bcd32274-8a68-44a9-bef8-44bb672e0270</errorID>
      <errorWord>“三公经费”预算</errorWord>
      <group>L1_Political</group>
      <groupName>政治性问题</groupName>
      <ability>L2_Keyword</ability>
      <abilityName>固定表述</abilityName>
      <candidateList>
        <item>“三公”经费预算</item>
      </candidateList>
      <explain>注意检查当前固定表述标点是否使用规范。</explain>
      <paraID>1168864A</paraID>
      <start>14</start>
      <end>22</end>
      <status>unmodified</status>
      <modifiedWord/>
      <trackRevisions>false</trackRevisions>
    </reviewItem>
    <reviewItem>
      <errorID>af2bd885-f131-486f-a20e-68ae653760ad</errorID>
      <errorWord>政治性先进性群众性</errorWord>
      <group>L1_Political</group>
      <groupName>政治性问题</groupName>
      <ability>L2_Keyword</ability>
      <abilityName>固定表述</abilityName>
      <candidateList>
        <item>政治性、先进性、群众性</item>
      </candidateList>
      <explain>注意检查当前固定表述标点是否使用规范。</explain>
      <paraID>7DC77F63</paraID>
      <start>30</start>
      <end>41</end>
      <status>modified</status>
      <modifiedWord>政治性、先进性、群众性</modifiedWord>
      <trackRevisions>false</trackRevisions>
    </reviewItem>
    <reviewItem>
      <errorID>e6e168bb-513f-4353-817a-b4fd5ccaceeb</errorID>
      <errorWord>听党话，跟党走</errorWord>
      <group>L1_Political</group>
      <groupName>政治性问题</groupName>
      <ability>L2_Keyword</ability>
      <abilityName>固定表述</abilityName>
      <candidateList>
        <item>听党话、跟党走</item>
      </candidateList>
      <explain>注意检查当前固定表述标点是否使用规范。</explain>
      <paraID>6C9287AE</paraID>
      <start>163</start>
      <end>170</end>
      <status>modified</status>
      <modifiedWord>听党话、跟党走</modifiedWord>
      <trackRevisions>false</trackRevisions>
    </reviewItem>
    <reviewItem>
      <errorID>7773ed05-a29c-438a-b0b3-3223dcb95c69</errorID>
      <errorWord>感</errorWord>
      <group>L1_Word</group>
      <groupName>字词问题</groupName>
      <ability>L2_Typo</ability>
      <abilityName>字词错误</abilityName>
      <candidateList>
        <item>感和</item>
      </candidateList>
      <explain/>
      <paraID> DCA6D04</paraID>
      <start>36</start>
      <end>37</end>
      <status>unmodified</status>
      <modifiedWord/>
      <trackRevisions>false</trackRevisions>
    </reviewItem>
    <reviewItem>
      <errorID>040f6afc-e08f-4cd1-b1a6-3ca4f46b82f9</errorID>
      <errorWord>妇女权益保障法</errorWord>
      <group>L1_Knowledge</group>
      <groupName>知识性问题</groupName>
      <ability>L2_Knowledge</ability>
      <abilityName>其他知识</abilityName>
      <candidateList>
        <item>中华人民共和国妇女权益保障法</item>
      </candidateList>
      <explain>当前法律法规名称使用简称，请注意是否应当使用全称。</explain>
      <paraID> DCA6D04</paraID>
      <start>93</start>
      <end>100</end>
      <status>unmodified</status>
      <modifiedWord/>
      <trackRevisions>false</trackRevisions>
    </reviewItem>
    <reviewItem>
      <errorID>40712897-a592-43e4-a907-585eefcb123a</errorID>
      <errorWord>政治性先进性群众性</errorWord>
      <group>L1_Political</group>
      <groupName>政治性问题</groupName>
      <ability>L2_Keyword</ability>
      <abilityName>固定表述</abilityName>
      <candidateList>
        <item>政治性、先进性、群众性</item>
      </candidateList>
      <explain>注意检查当前固定表述标点是否使用规范。</explain>
      <paraID>1D969B15</paraID>
      <start>4</start>
      <end>13</end>
      <status>unmodified</status>
      <modifiedWord/>
      <trackRevisions>false</trackRevisions>
    </reviewItem>
    <reviewItem>
      <errorID>889f2e42-cdd3-4b70-ac61-8f96c213f47e</errorID>
      <errorWord>领头雁</errorWord>
      <group>L1_Political</group>
      <groupName>政治性问题</groupName>
      <ability>L2_Keyword</ability>
      <abilityName>固定表述</abilityName>
      <candidateList>
        <item>‘领头雁’</item>
      </candidateList>
      <explain>注意检查当前固定表述标点是否使用规范。</explain>
      <paraID>1D969B15</paraID>
      <start>122</start>
      <end>125</end>
      <status>unmodified</status>
      <modifiedWord/>
      <trackRevisions>false</trackRevisions>
    </reviewItem>
    <reviewItem>
      <errorID>237ff391-119e-4037-979a-e26e37ccb83a</errorID>
      <errorWord>聚焦在</errorWord>
      <group>L1_Word</group>
      <groupName>字词问题</groupName>
      <ability>L2_Typo</ability>
      <abilityName>字词错误</abilityName>
      <candidateList>
        <item>聚焦</item>
      </candidateList>
      <explain/>
      <paraID>16D5BF6D</paraID>
      <start>51</start>
      <end>54</end>
      <status>unmodified</status>
      <modifiedWord/>
      <trackRevisions>false</trackRevisions>
    </reviewItem>
    <reviewItem>
      <errorID>cd883790-dc28-486b-b090-66f0a70b0fb9</errorID>
      <errorWord>主题和</errorWord>
      <group>L1_Word</group>
      <groupName>字词问题</groupName>
      <ability>L2_Typo</ability>
      <abilityName>字词错误</abilityName>
      <candidateList>
        <item>主题</item>
      </candidateList>
      <explain/>
      <paraID>25FEE8B4</paraID>
      <start>60</start>
      <end>63</end>
      <status>unmodified</status>
      <modifiedWord/>
      <trackRevisions>false</trackRevisions>
    </reviewItem>
    <reviewItem>
      <errorID>4e5a4826-19ab-4c6f-aa22-c6f7bec41a64</errorID>
      <errorWord>领头雁</errorWord>
      <group>L1_Political</group>
      <groupName>政治性问题</groupName>
      <ability>L2_Keyword</ability>
      <abilityName>固定表述</abilityName>
      <candidateList>
        <item>‘领头雁’</item>
      </candidateList>
      <explain>注意检查当前固定表述标点是否使用规范。</explain>
      <paraID>1889CDE8</paraID>
      <start>86</start>
      <end>89</end>
      <status>unmodified</status>
      <modifiedWord/>
      <trackRevisions>false</trackRevisions>
    </reviewItem>
    <reviewItem>
      <errorID>3f664345-ec05-4c7f-9aee-9aaf359b2097</errorID>
      <errorWord>日正式实施</errorWord>
      <group>L1_Word</group>
      <groupName>字词问题</groupName>
      <ability>L2_Typo</ability>
      <abilityName>字词错误</abilityName>
      <candidateList>
        <item>日起正式实施</item>
      </candidateList>
      <explain/>
      <paraID> 67930F3</paraID>
      <start>336</start>
      <end>341</end>
      <status>unmodified</status>
      <modifiedWord/>
      <trackRevisions>false</trackRevisions>
    </reviewItem>
    <reviewItem>
      <errorID>61d2239c-4b97-4f12-88c7-feca5236b311</errorID>
      <errorWord>意识形态责任制</errorWord>
      <group>L1_Political</group>
      <groupName>政治性问题</groupName>
      <ability>L2_Keyword</ability>
      <abilityName>固定表述</abilityName>
      <candidateList>
        <item>意识形态工作责任制</item>
      </candidateList>
      <explain>词汇“意识形态工作责任制”在特定场景下为固定表述形式，请确认此处的“意识形态责任制”是否存在不当。</explain>
      <paraID>3EEA846A</paraID>
      <start>67</start>
      <end>74</end>
      <status>unmodified</status>
      <modifiedWord/>
      <trackRevisions>false</trackRevisions>
    </reviewItem>
    <reviewItem>
      <errorID>f6deb22c-795d-4a0f-917f-a970c5268318</errorID>
      <errorWord>中央八项规定学习教育</errorWord>
      <group>L1_Word</group>
      <groupName>字词问题</groupName>
      <ability>L2_Typo</ability>
      <abilityName>字词错误</abilityName>
      <candidateList>
        <item>中央八项规定精神学习教育</item>
      </candidateList>
      <explain/>
      <paraID>3EEA846A</paraID>
      <start>188</start>
      <end>198</end>
      <status>unmodified</status>
      <modifiedWord/>
      <trackRevisions>false</trackRevisions>
    </reviewItem>
    <reviewItem>
      <errorID>7734b540-aa8b-4b8b-a98c-b92cfbe280e2</errorID>
      <errorWord>纠治四风</errorWord>
      <group>L1_Political</group>
      <groupName>政治性问题</groupName>
      <ability>L2_Keyword</ability>
      <abilityName>固定表述</abilityName>
      <candidateList>
        <item>纠治“四风”</item>
      </candidateList>
      <explain>注意检查当前固定表述标点是否使用规范。</explain>
      <paraID>3EEA846A</paraID>
      <start>205</start>
      <end>209</end>
      <status>unmodified</status>
      <modifiedWord/>
      <trackRevisions>false</trackRevisions>
    </reviewItem>
    <reviewItem>
      <errorID>7fa700e5-3d20-48d4-8b0c-45aeaeeb219a</errorID>
      <errorWord>五</errorWord>
      <group>L1_Word</group>
      <groupName>字词问题</groupName>
      <ability>L2_Typo</ability>
      <abilityName>字词错误</abilityName>
      <candidateList>
        <item>五个</item>
      </candidateList>
      <explain/>
      <paraID> 13B754F</paraID>
      <start>200</start>
      <end>201</end>
      <status>unmodified</status>
      <modifiedWord/>
      <trackRevisions>false</trackRevisions>
    </reviewItem>
    <reviewItem>
      <errorID>c9c3613e-4dac-48d0-be9e-483a9c7d7d09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29C262C8</paraID>
      <start>21</start>
      <end>24</end>
      <status>unmodified</status>
      <modifiedWord/>
      <trackRevisions>false</trackRevisions>
    </reviewItem>
    <reviewItem>
      <errorID>4a028ac7-8fb6-4959-a7d5-6233d29b4151</errorID>
      <errorWord>政</errorWord>
      <group>L1_Word</group>
      <groupName>字词问题</groupName>
      <ability>L2_Typo</ability>
      <abilityName>字词错误</abilityName>
      <candidateList>
        <item>政局</item>
      </candidateList>
      <explain/>
      <paraID>35141640</paraID>
      <start>22</start>
      <end>23</end>
      <status>unmodified</status>
      <modifiedWord/>
      <trackRevisions>false</trackRevisions>
    </reviewItem>
    <reviewItem>
      <errorID>0b218cca-9dd3-4a59-a9cf-42527f41b41d</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7B321F07</paraID>
      <start>4</start>
      <end>8</end>
      <status>unmodified</status>
      <modifiedWord/>
      <trackRevisions>false</trackRevisions>
    </reviewItem>
    <reviewItem>
      <errorID>074f4e0e-7a6e-4443-86a2-c95f70ecddb8</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7B321F07</paraID>
      <start>32</start>
      <end>38</end>
      <status>unmodified</status>
      <modifiedWord/>
      <trackRevisions>false</trackRevisions>
    </reviewItem>
    <reviewItem>
      <errorID>767ed5aa-1826-4a53-b8f8-91cf154c599f</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3CA9D113</paraID>
      <start>0</start>
      <end>6</end>
      <status>unmodified</status>
      <modifiedWord/>
      <trackRevisions>false</trackRevisions>
    </reviewItem>
    <reviewItem>
      <errorID>09a95b12-aa75-4638-9ea0-8bba86e5667f</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3CA9D113</paraID>
      <start>11</start>
      <end>17</end>
      <status>unmodified</status>
      <modifiedWord/>
      <trackRevisions>false</trackRevisions>
    </reviewItem>
    <reviewItem>
      <errorID>518b79d3-65e1-4a7f-8a5d-630d44c4827f</errorID>
      <errorWord>“三公经费”预算</errorWord>
      <group>L1_Political</group>
      <groupName>政治性问题</groupName>
      <ability>L2_Keyword</ability>
      <abilityName>固定表述</abilityName>
      <candidateList>
        <item>“三公”经费预算</item>
      </candidateList>
      <explain>注意检查当前固定表述标点是否使用规范。</explain>
      <paraID>3CA9D113</paraID>
      <start>23</start>
      <end>31</end>
      <status>unmodified</status>
      <modifiedWord/>
      <trackRevisions>false</trackRevisions>
    </reviewItem>
    <reviewItem>
      <errorID>186f83ad-fa5e-46d0-8b2d-264067be030e</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3CA9D113</paraID>
      <start>41</start>
      <end>46</end>
      <status>unmodified</status>
      <modifiedWord/>
      <trackRevisions>false</trackRevisions>
    </reviewItem>
    <reviewItem>
      <errorID>476e78b3-4740-4ad2-ae02-f32c7d0c9ab0</errorID>
      <errorWord>作</errorWord>
      <group>L1_Word</group>
      <groupName>字词问题</groupName>
      <ability>L2_Typo</ability>
      <abilityName>字词错误</abilityName>
      <candidateList>
        <item>作用</item>
      </candidateList>
      <explain/>
      <paraID>196E6D5A</paraID>
      <start>6</start>
      <end>7</end>
      <status>unmodified</status>
      <modifiedWord/>
      <trackRevisions>false</trackRevisions>
    </reviewItem>
    <reviewItem>
      <errorID>13a417d3-1c3e-4a23-bcb2-782b6b9678e0</errorID>
      <errorWord>法律、法规</errorWord>
      <group>L1_Word</group>
      <groupName>字词问题</groupName>
      <ability>L2_Typo</ability>
      <abilityName>字词错误</abilityName>
      <candidateList>
        <item>法律法规</item>
      </candidateList>
      <explain/>
      <paraID>2264C3F8</paraID>
      <start>24</start>
      <end>29</end>
      <status>unmodified</status>
      <modifiedWord/>
      <trackRevisions>false</trackRevisions>
    </reviewItem>
    <reviewItem>
      <errorID>f0e30d00-3da7-47c0-ba13-8532a4747290</errorID>
      <errorWord>省委省政府</errorWord>
      <group>L1_Political</group>
      <groupName>政治性问题</groupName>
      <ability>L2_Keyword</ability>
      <abilityName>固定表述</abilityName>
      <candidateList>
        <item>省委、省政府</item>
      </candidateList>
      <explain>注意检查当前固定表述标点是否使用规范。</explain>
      <paraID>37FF4098</paraID>
      <start>17</start>
      <end>22</end>
      <status>unmodified</status>
      <modifiedWord/>
      <trackRevisions>false</trackRevisions>
    </reviewItem>
    <reviewItem>
      <errorID>defa16ab-fe97-4f41-a6f1-3531b8c741eb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211E5FB4</paraID>
      <start>28</start>
      <end>29</end>
      <status>unmodified</status>
      <modifiedWord/>
      <trackRevisions>false</trackRevisions>
    </reviewItem>
    <reviewItem>
      <errorID>d5beb0f1-ed76-4110-a06a-0685712bc7b4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49383390</paraID>
      <start>23</start>
      <end>24</end>
      <status>unmodified</status>
      <modifiedWord/>
      <trackRevisions>false</trackRevisions>
    </reviewItem>
    <reviewItem>
      <errorID>72478b05-c52c-4406-86fb-89068b379cea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5164224B</paraID>
      <start>34</start>
      <end>35</end>
      <status>unmodified</status>
      <modifiedWord/>
      <trackRevisions>false</trackRevisions>
    </reviewItem>
    <reviewItem>
      <errorID>b3d148ec-13d2-4c33-b17a-e541286336d6</errorID>
      <errorWord>领头雁</errorWord>
      <group>L1_Political</group>
      <groupName>政治性问题</groupName>
      <ability>L2_Keyword</ability>
      <abilityName>固定表述</abilityName>
      <candidateList>
        <item>“领头雁”</item>
      </candidateList>
      <explain>注意检查当前固定表述标点是否使用规范。</explain>
      <paraID> BF19B3A</paraID>
      <start>10</start>
      <end>13</end>
      <status>unmodified</status>
      <modifiedWord/>
      <trackRevisions>false</trackRevisions>
    </reviewItem>
    <reviewItem>
      <errorID>5d3da550-c91c-48ca-95bb-fa71a1d00c9c</errorID>
      <errorWord>听党话跟党走</errorWord>
      <group>L1_Political</group>
      <groupName>政治性问题</groupName>
      <ability>L2_Keyword</ability>
      <abilityName>固定表述</abilityName>
      <candidateList>
        <item>听党话、跟党走</item>
      </candidateList>
      <explain>注意检查当前固定表述标点是否使用规范。</explain>
      <paraID>1B3A1926</paraID>
      <start>145</start>
      <end>151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21A671-C8ED-4C97-888E-A1AD03A93ED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33</Pages>
  <Words>3434</Words>
  <Characters>3777</Characters>
  <Lines>137</Lines>
  <Paragraphs>38</Paragraphs>
  <TotalTime>11</TotalTime>
  <ScaleCrop>false</ScaleCrop>
  <LinksUpToDate>false</LinksUpToDate>
  <CharactersWithSpaces>3822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2024-06-29T07:21:00Z</dcterms:created>
  <dc:creator>Windows 用户</dc:creator>
  <cp:lastModifiedBy>夏本静</cp:lastModifiedBy>
  <cp:lastPrinted>2024-06-30T01:37:00Z</cp:lastPrinted>
  <dcterms:modified xsi:type="dcterms:W3CDTF">2026-09-23T09:09:04Z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SaveFontToCloudKey">
    <vt:lpwstr>317097738_cloud</vt:lpwstr>
  </property>
  <property fmtid="{D5CDD505-2E9C-101B-9397-08002B2CF9AE}" pid="4" name="ICV">
    <vt:lpwstr>BE5CCA909EEF4F228ACA801BF8190BAD_13</vt:lpwstr>
  </property>
  <property fmtid="{D5CDD505-2E9C-101B-9397-08002B2CF9AE}" pid="5" name="KSOTemplateDocerSaveRecord">
    <vt:lpwstr>eyJoZGlkIjoiMmVhYmVjOTJlNTM3NDFiNWI3NjY4N2Y5YWJjNTZlNjgiLCJ1c2VySWQiOiIzNDA1MDkyNDkifQ==</vt:lpwstr>
  </property>
</Properties>
</file>